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C55536">
        <w:rPr>
          <w:rFonts w:ascii="Times New Roman" w:eastAsia="Times New Roman" w:hAnsi="Times New Roman" w:cs="Times New Roman"/>
          <w:b/>
          <w:color w:val="222222"/>
          <w:sz w:val="24"/>
          <w:szCs w:val="24"/>
        </w:rPr>
        <w:t xml:space="preserve">Signals in Nerves: </w:t>
      </w:r>
      <w:r>
        <w:rPr>
          <w:rFonts w:ascii="Times New Roman" w:eastAsia="Times New Roman" w:hAnsi="Times New Roman" w:cs="Times New Roman"/>
          <w:b/>
          <w:color w:val="222222"/>
          <w:sz w:val="24"/>
          <w:szCs w:val="24"/>
        </w:rPr>
        <w:t>the impossible dream</w:t>
      </w:r>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DE799D">
        <w:rPr>
          <w:rFonts w:ascii="Times New Roman" w:eastAsia="Times New Roman" w:hAnsi="Times New Roman" w:cs="Times New Roman"/>
          <w:b/>
          <w:noProof/>
          <w:color w:val="222222"/>
          <w:sz w:val="24"/>
          <w:szCs w:val="24"/>
        </w:rPr>
        <w:t>October 29,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Computation has increased so much</w:t>
      </w:r>
      <w:r w:rsidR="002049EB">
        <w:rPr>
          <w:rFonts w:ascii="Times New Roman" w:eastAsia="Times New Roman" w:hAnsi="Times New Roman" w:cs="Times New Roman"/>
          <w:color w:val="222222"/>
          <w:sz w:val="24"/>
          <w:szCs w:val="24"/>
        </w:rPr>
        <w:t xml:space="preserve"> (&gt;10</w:t>
      </w:r>
      <w:r w:rsidR="002049EB">
        <w:rPr>
          <w:rFonts w:ascii="Times New Roman" w:eastAsia="Times New Roman" w:hAnsi="Times New Roman" w:cs="Times New Roman"/>
          <w:color w:val="222222"/>
          <w:sz w:val="24"/>
          <w:szCs w:val="24"/>
          <w:vertAlign w:val="superscript"/>
        </w:rPr>
        <w:t>9</w:t>
      </w:r>
      <w:r w:rsidR="002049EB">
        <w:rPr>
          <w:rFonts w:ascii="Times New Roman" w:eastAsia="Times New Roman" w:hAnsi="Times New Roman" w:cs="Times New Roman"/>
          <w:color w:val="222222"/>
          <w:sz w:val="24"/>
          <w:szCs w:val="24"/>
        </w:rPr>
        <w:t>)</w:t>
      </w:r>
      <w:r w:rsidR="000D19C7">
        <w:rPr>
          <w:rFonts w:ascii="Times New Roman" w:eastAsia="Times New Roman" w:hAnsi="Times New Roman" w:cs="Times New Roman"/>
          <w:color w:val="222222"/>
          <w:sz w:val="24"/>
          <w:szCs w:val="24"/>
        </w:rPr>
        <w:t xml:space="preserve"> in power</w:t>
      </w:r>
      <w:r w:rsidR="002049EB">
        <w:rPr>
          <w:rFonts w:ascii="Times New Roman" w:eastAsia="Times New Roman" w:hAnsi="Times New Roman" w:cs="Times New Roman"/>
          <w:color w:val="222222"/>
          <w:sz w:val="24"/>
          <w:szCs w:val="24"/>
        </w:rPr>
        <w:t xml:space="preserve"> since 1965</w:t>
      </w:r>
      <w:r w:rsidR="008B7A1F">
        <w:rPr>
          <w:rStyle w:val="FootnoteReference"/>
          <w:rFonts w:ascii="Times New Roman" w:eastAsia="Times New Roman" w:hAnsi="Times New Roman" w:cs="Times New Roman"/>
          <w:color w:val="222222"/>
          <w:sz w:val="24"/>
          <w:szCs w:val="24"/>
        </w:rPr>
        <w:footnoteReference w:customMarkFollows="1" w:id="1"/>
        <w:t>§</w:t>
      </w:r>
      <w:r w:rsidR="00FA3770">
        <w:rPr>
          <w:rFonts w:ascii="Times New Roman" w:eastAsia="Times New Roman" w:hAnsi="Times New Roman" w:cs="Times New Roman"/>
          <w:color w:val="222222"/>
          <w:sz w:val="24"/>
          <w:szCs w:val="24"/>
        </w:rPr>
        <w:t xml:space="preserve"> </w:t>
      </w:r>
      <w:r w:rsidR="000D19C7">
        <w:rPr>
          <w:rFonts w:ascii="Times New Roman" w:eastAsia="Times New Roman" w:hAnsi="Times New Roman" w:cs="Times New Roman"/>
          <w:color w:val="222222"/>
          <w:sz w:val="24"/>
          <w:szCs w:val="24"/>
        </w:rPr>
        <w:t xml:space="preserve">that </w:t>
      </w:r>
      <w:r w:rsidR="00DE799D">
        <w:rPr>
          <w:rFonts w:ascii="Times New Roman" w:eastAsia="Times New Roman" w:hAnsi="Times New Roman" w:cs="Times New Roman"/>
          <w:color w:val="222222"/>
          <w:sz w:val="24"/>
          <w:szCs w:val="24"/>
        </w:rPr>
        <w:t>it seems infinite. C</w:t>
      </w:r>
      <w:bookmarkStart w:id="0" w:name="_GoBack"/>
      <w:bookmarkEnd w:id="0"/>
      <w:r w:rsidR="000D19C7">
        <w:rPr>
          <w:rFonts w:ascii="Times New Roman" w:eastAsia="Times New Roman" w:hAnsi="Times New Roman" w:cs="Times New Roman"/>
          <w:color w:val="222222"/>
          <w:sz w:val="24"/>
          <w:szCs w:val="24"/>
        </w:rPr>
        <w:t>omputers seem to be able to calculate anything. They cannot.</w:t>
      </w:r>
      <w:bookmarkStart w:id="1" w:name="OLE_LINK7"/>
      <w:bookmarkStart w:id="2"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separate"/>
      </w:r>
      <w:hyperlink w:anchor="_ENREF_1" w:tooltip="Maginn, 2009 #22019" w:history="1">
        <w:r w:rsidR="00A93530" w:rsidRPr="00FF0BD0">
          <w:rPr>
            <w:rFonts w:ascii="Times New Roman" w:eastAsia="Times New Roman" w:hAnsi="Times New Roman" w:cs="Times New Roman"/>
            <w:noProof/>
            <w:color w:val="222222"/>
            <w:sz w:val="24"/>
            <w:szCs w:val="24"/>
            <w:vertAlign w:val="superscript"/>
          </w:rPr>
          <w:t>1</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2" w:tooltip="Post, 2005 #7917" w:history="1">
        <w:r w:rsidR="00A93530" w:rsidRPr="00FF0BD0">
          <w:rPr>
            <w:rFonts w:ascii="Times New Roman" w:eastAsia="Times New Roman" w:hAnsi="Times New Roman" w:cs="Times New Roman"/>
            <w:noProof/>
            <w:color w:val="222222"/>
            <w:sz w:val="24"/>
            <w:szCs w:val="24"/>
            <w:vertAlign w:val="superscript"/>
          </w:rPr>
          <w:t>2</w:t>
        </w:r>
      </w:hyperlink>
      <w:r w:rsidR="00C55536">
        <w:rPr>
          <w:rFonts w:ascii="Times New Roman" w:eastAsia="Times New Roman" w:hAnsi="Times New Roman" w:cs="Times New Roman"/>
          <w:color w:val="222222"/>
          <w:sz w:val="24"/>
          <w:szCs w:val="24"/>
        </w:rPr>
        <w:fldChar w:fldCharType="end"/>
      </w:r>
      <w:bookmarkEnd w:id="1"/>
      <w:bookmarkEnd w:id="2"/>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0D19C7" w:rsidRDefault="000D19C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w:t>
      </w:r>
      <w:proofErr w:type="spellStart"/>
      <w:r w:rsidR="00C55536">
        <w:rPr>
          <w:rFonts w:ascii="Times New Roman" w:eastAsia="Times New Roman" w:hAnsi="Times New Roman" w:cs="Times New Roman"/>
          <w:color w:val="222222"/>
          <w:sz w:val="24"/>
          <w:szCs w:val="24"/>
        </w:rPr>
        <w:t>Karplus</w:t>
      </w:r>
      <w:proofErr w:type="spellEnd"/>
      <w:r>
        <w:rPr>
          <w:rFonts w:ascii="Times New Roman" w:eastAsia="Times New Roman" w:hAnsi="Times New Roman" w:cs="Times New Roman"/>
          <w:color w:val="222222"/>
          <w:sz w:val="24"/>
          <w:szCs w:val="24"/>
        </w:rPr>
        <w:t>. But many important biological functions (produced by proteins) cannot be computed in an all-atom simulation</w:t>
      </w:r>
      <w:r w:rsidR="0031641E">
        <w:rPr>
          <w:rFonts w:ascii="Times New Roman" w:eastAsia="Times New Roman" w:hAnsi="Times New Roman" w:cs="Times New Roman"/>
          <w:color w:val="222222"/>
          <w:sz w:val="24"/>
          <w:szCs w:val="24"/>
        </w:rPr>
        <w:t>. 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 even</w:t>
      </w:r>
      <w:r>
        <w:rPr>
          <w:rFonts w:ascii="Times New Roman" w:eastAsia="Times New Roman" w:hAnsi="Times New Roman" w:cs="Times New Roman"/>
          <w:color w:val="222222"/>
          <w:sz w:val="24"/>
          <w:szCs w:val="24"/>
        </w:rPr>
        <w:t xml:space="preserve"> as we celebrate what can be done so well.</w:t>
      </w:r>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A77A87"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 xml:space="preserve">carries information as a 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all-or-none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FA3770">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p>
    <w:p w:rsidR="00A77A87" w:rsidRDefault="00A77A87" w:rsidP="00053321">
      <w:pPr>
        <w:spacing w:after="0" w:line="240" w:lineRule="auto"/>
        <w:jc w:val="both"/>
        <w:rPr>
          <w:rFonts w:ascii="Times New Roman" w:eastAsia="Times New Roman" w:hAnsi="Times New Roman" w:cs="Times New Roman"/>
          <w:color w:val="222222"/>
          <w:sz w:val="24"/>
          <w:szCs w:val="24"/>
        </w:rPr>
      </w:pPr>
    </w:p>
    <w:p w:rsidR="00FA3770" w:rsidRDefault="00A77A8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Potassium is abundant inside cells. S</w:t>
      </w:r>
      <w:r w:rsidR="00032866">
        <w:rPr>
          <w:rFonts w:ascii="Times New Roman" w:eastAsia="Times New Roman" w:hAnsi="Times New Roman" w:cs="Times New Roman"/>
          <w:color w:val="222222"/>
          <w:sz w:val="24"/>
          <w:szCs w:val="24"/>
        </w:rPr>
        <w:t xml:space="preserve">odium is abundant outside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3</w:t>
        </w:r>
        <w:r w:rsidR="00A93530">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 The gradients of concentration, electrical, and electrochemical potential for </w:t>
      </w:r>
      <w:bookmarkStart w:id="3" w:name="OLE_LINK11"/>
      <w:bookmarkStart w:id="4"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3"/>
      <w:bookmarkEnd w:id="4"/>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 xml:space="preserve">The inward sodium current provides the energy for propagation.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5" w:name="OLE_LINK13"/>
      <w:bookmarkStart w:id="6"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5"/>
      <w:bookmarkEnd w:id="6"/>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helps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p>
    <w:p w:rsidR="00FA3770" w:rsidRDefault="00FA3770" w:rsidP="00053321">
      <w:pPr>
        <w:spacing w:after="0" w:line="240" w:lineRule="auto"/>
        <w:jc w:val="both"/>
        <w:rPr>
          <w:rFonts w:ascii="Times New Roman" w:eastAsia="Times New Roman" w:hAnsi="Times New Roman" w:cs="Times New Roman"/>
          <w:color w:val="222222"/>
          <w:sz w:val="24"/>
          <w:szCs w:val="24"/>
        </w:rPr>
      </w:pPr>
    </w:p>
    <w:p w:rsidR="00184756"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FF0BD0">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face="superscript"&gt;4, 5&lt;/style&gt;&lt;/DisplayText&gt;&lt;record&gt;&lt;rec-number&gt;503&lt;/rec-number&gt;&lt;foreign-keys&gt;&lt;key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4" w:tooltip="Jack, 1975 #503" w:history="1">
        <w:r w:rsidR="00A93530" w:rsidRPr="00FF0BD0">
          <w:rPr>
            <w:rFonts w:ascii="Times New Roman" w:eastAsia="Times New Roman" w:hAnsi="Times New Roman" w:cs="Times New Roman"/>
            <w:noProof/>
            <w:color w:val="222222"/>
            <w:sz w:val="24"/>
            <w:szCs w:val="24"/>
            <w:vertAlign w:val="superscript"/>
          </w:rPr>
          <w:t>4</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5" w:tooltip="Gabbiani, 2010 #11251" w:history="1">
        <w:r w:rsidR="00A93530" w:rsidRPr="00FF0BD0">
          <w:rPr>
            <w:rFonts w:ascii="Times New Roman" w:eastAsia="Times New Roman" w:hAnsi="Times New Roman" w:cs="Times New Roman"/>
            <w:noProof/>
            <w:color w:val="222222"/>
            <w:sz w:val="24"/>
            <w:szCs w:val="24"/>
            <w:vertAlign w:val="superscript"/>
          </w:rPr>
          <w:t>5</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w:t>
      </w:r>
      <w:r w:rsidR="005C5FEC" w:rsidRPr="005C5FEC">
        <w:rPr>
          <w:rFonts w:ascii="Times New Roman" w:eastAsia="Times New Roman" w:hAnsi="Times New Roman" w:cs="Times New Roman"/>
          <w:color w:val="222222"/>
          <w:sz w:val="24"/>
          <w:szCs w:val="24"/>
        </w:rPr>
        <w:lastRenderedPageBreak/>
        <w:t>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184756" w:rsidRDefault="00184756" w:rsidP="00053321">
      <w:pPr>
        <w:spacing w:after="0" w:line="240" w:lineRule="auto"/>
        <w:jc w:val="both"/>
        <w:rPr>
          <w:rFonts w:ascii="Times New Roman" w:eastAsia="Times New Roman" w:hAnsi="Times New Roman" w:cs="Times New Roman"/>
          <w:color w:val="222222"/>
          <w:sz w:val="24"/>
          <w:szCs w:val="24"/>
        </w:rPr>
      </w:pPr>
    </w:p>
    <w:p w:rsidR="00FB4433"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7" w:name="OLE_LINK1"/>
      <w:bookmarkStart w:id="8"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7"/>
      <w:bookmarkEnd w:id="8"/>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The electric field 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every other ion, producing a staggering number of interactions.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FB4433" w:rsidRDefault="00FB4433"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1641E"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9" w:name="OLE_LINK3"/>
      <w:bookmarkStart w:id="10"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r>
      <w:r w:rsidR="007C2BE5">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9"/>
      <w:bookmarkEnd w:id="10"/>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54423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54423F">
        <w:rPr>
          <w:rFonts w:ascii="Times New Roman" w:eastAsia="Times New Roman" w:hAnsi="Times New Roman" w:cs="Times New Roman"/>
          <w:color w:val="222222"/>
          <w:sz w:val="24"/>
          <w:szCs w:val="24"/>
        </w:rPr>
      </w:r>
      <w:r w:rsidR="0054423F">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54423F">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1" w:name="OLE_LINK5"/>
      <w:bookmarkStart w:id="12" w:name="OLE_LINK6"/>
      <w:r w:rsidR="0054423F">
        <w:rPr>
          <w:rFonts w:ascii="Times New Roman" w:eastAsia="Times New Roman" w:hAnsi="Times New Roman" w:cs="Times New Roman"/>
          <w:color w:val="222222"/>
          <w:sz w:val="24"/>
          <w:szCs w:val="24"/>
        </w:rPr>
        <w:t xml:space="preserve"> in the mathematics literature today.</w:t>
      </w:r>
      <w:bookmarkEnd w:id="11"/>
      <w:bookmarkEnd w:id="12"/>
      <w:r w:rsidR="0037218B">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FC2519" w:rsidRDefault="0037658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9" w:tooltip="Neher, 1997 #22885"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face="superscript"&gt;9&lt;/style&gt;&lt;/DisplayText&gt;&lt;record&gt;&lt;rec-number&gt;22885&lt;/rec-number&gt;&lt;foreign-keys&gt;&lt;key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9</w:t>
        </w:r>
        <w:r w:rsidR="00A93530">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13" w:name="OLE_LINK9"/>
      <w:bookmarkStart w:id="14" w:name="OLE_LINK10"/>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HYPERLINK \l "_ENREF_10" \o "Sakmann, 1995 #135" </w:instrText>
      </w:r>
      <w:r w:rsidR="00A93530">
        <w:rPr>
          <w:rFonts w:ascii="Times New Roman" w:eastAsia="Times New Roman" w:hAnsi="Times New Roman" w:cs="Times New Roman"/>
          <w:color w:val="222222"/>
          <w:sz w:val="24"/>
          <w:szCs w:val="24"/>
        </w:rPr>
        <w:fldChar w:fldCharType="separate"/>
      </w:r>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face="superscript"&gt;10&lt;/style&gt;&lt;/DisplayText&gt;&lt;record&gt;&lt;rec-number&gt;135&lt;/rec-number&gt;&lt;foreign-keys&gt;&lt;key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10</w:t>
      </w:r>
      <w:r w:rsidR="00A93530">
        <w:rPr>
          <w:rFonts w:ascii="Times New Roman" w:eastAsia="Times New Roman" w:hAnsi="Times New Roman" w:cs="Times New Roman"/>
          <w:color w:val="222222"/>
          <w:sz w:val="24"/>
          <w:szCs w:val="24"/>
        </w:rPr>
        <w:fldChar w:fldCharType="end"/>
      </w:r>
      <w:r w:rsidR="00A93530">
        <w:rPr>
          <w:rFonts w:ascii="Times New Roman" w:eastAsia="Times New Roman" w:hAnsi="Times New Roman" w:cs="Times New Roman"/>
          <w:color w:val="222222"/>
          <w:sz w:val="24"/>
          <w:szCs w:val="24"/>
        </w:rPr>
        <w:fldChar w:fldCharType="end"/>
      </w:r>
      <w:bookmarkEnd w:id="13"/>
      <w:bookmarkEnd w:id="14"/>
      <w:r w:rsidR="005C5FEC" w:rsidRPr="005C5FEC">
        <w:rPr>
          <w:rFonts w:ascii="Times New Roman" w:eastAsia="Times New Roman" w:hAnsi="Times New Roman" w:cs="Times New Roman"/>
          <w:color w:val="222222"/>
          <w:sz w:val="24"/>
          <w:szCs w:val="24"/>
        </w:rPr>
        <w:t xml:space="preserve"> The voltage and time dependence of ensembles of noninteracting channels is simple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0" w:tooltip="Sakmann, 1995 #135"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face="superscript"&gt;10&lt;/style&gt;&lt;/DisplayText&gt;&lt;record&gt;&lt;rec-number&gt;135&lt;/rec-number&gt;&lt;foreign-keys&gt;&lt;key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10</w:t>
        </w:r>
        <w:r w:rsidR="00A93530">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FC2519" w:rsidRDefault="00FC2519" w:rsidP="00053321">
      <w:pPr>
        <w:spacing w:after="0" w:line="240" w:lineRule="auto"/>
        <w:jc w:val="both"/>
        <w:rPr>
          <w:rFonts w:ascii="Times New Roman" w:eastAsia="Times New Roman" w:hAnsi="Times New Roman" w:cs="Times New Roman"/>
          <w:color w:val="222222"/>
          <w:sz w:val="24"/>
          <w:szCs w:val="24"/>
        </w:rPr>
      </w:pPr>
    </w:p>
    <w:p w:rsidR="00A15551" w:rsidRDefault="00FC2519"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54423F">
        <w:rPr>
          <w:rFonts w:ascii="Times New Roman" w:eastAsia="Times New Roman" w:hAnsi="Times New Roman" w:cs="Times New Roman"/>
          <w:color w:val="222222"/>
          <w:sz w:val="24"/>
          <w:szCs w:val="24"/>
        </w:rPr>
        <w:t xml:space="preserve"> of the action potential (waveform),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 in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9E7E1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1" w:tooltip="Eisenberg, 2010 #13476"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face="superscript"&gt;11&lt;/style&gt;&lt;/DisplayText&gt;&lt;record&gt;&lt;rec-number&gt;13476&lt;/rec-number&gt;&lt;foreign-keys&gt;&lt;key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11</w:t>
        </w:r>
        <w:r w:rsidR="00A93530">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2" w:tooltip="Hille, 2001 #686"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face="superscript"&gt;12&lt;/style&gt;&lt;/DisplayText&gt;&lt;record&gt;&lt;rec-number&gt;686&lt;/rec-number&gt;&lt;foreign-keys&gt;&lt;key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12</w:t>
        </w:r>
        <w:r w:rsidR="00A93530">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B79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w:t>
      </w:r>
      <w:r w:rsidR="005C5FEC" w:rsidRPr="005C5FEC">
        <w:rPr>
          <w:rFonts w:ascii="Times New Roman" w:eastAsia="Times New Roman" w:hAnsi="Times New Roman" w:cs="Times New Roman"/>
          <w:color w:val="222222"/>
          <w:sz w:val="24"/>
          <w:szCs w:val="24"/>
        </w:rPr>
        <w:lastRenderedPageBreak/>
        <w:t xml:space="preserve">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Ij4xMywgMTQsIDE1PC9zdHlsZT48L0Rpc3BsYXlUZXh0PjxyZWNvcmQ+PHJlYy1udW1iZXI+MzAy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Ij4xMywgMTQsIDE1PC9zdHlsZT48L0Rpc3BsYXlUZXh0PjxyZWNvcmQ+PHJlYy1udW1iZXI+MzAy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r>
      <w:r w:rsidR="004C6738">
        <w:rPr>
          <w:rFonts w:ascii="Times New Roman" w:eastAsia="Times New Roman" w:hAnsi="Times New Roman" w:cs="Times New Roman"/>
          <w:color w:val="222222"/>
          <w:sz w:val="24"/>
          <w:szCs w:val="24"/>
        </w:rPr>
        <w:fldChar w:fldCharType="separate"/>
      </w:r>
      <w:hyperlink w:anchor="_ENREF_13" w:tooltip="Fawcett, 2004 #3026" w:history="1">
        <w:r w:rsidR="00A93530" w:rsidRPr="00FF0BD0">
          <w:rPr>
            <w:rFonts w:ascii="Times New Roman" w:eastAsia="Times New Roman" w:hAnsi="Times New Roman" w:cs="Times New Roman"/>
            <w:noProof/>
            <w:color w:val="222222"/>
            <w:sz w:val="24"/>
            <w:szCs w:val="24"/>
            <w:vertAlign w:val="superscript"/>
          </w:rPr>
          <w:t>13</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4" w:tooltip="Laidler, 2003 #22047" w:history="1">
        <w:r w:rsidR="00A93530" w:rsidRPr="00FF0BD0">
          <w:rPr>
            <w:rFonts w:ascii="Times New Roman" w:eastAsia="Times New Roman" w:hAnsi="Times New Roman" w:cs="Times New Roman"/>
            <w:noProof/>
            <w:color w:val="222222"/>
            <w:sz w:val="24"/>
            <w:szCs w:val="24"/>
            <w:vertAlign w:val="superscript"/>
          </w:rPr>
          <w:t>14</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5" w:tooltip="Eisenberg, 2013 #23794" w:history="1">
        <w:r w:rsidR="00A93530" w:rsidRPr="00FF0BD0">
          <w:rPr>
            <w:rFonts w:ascii="Times New Roman" w:eastAsia="Times New Roman" w:hAnsi="Times New Roman" w:cs="Times New Roman"/>
            <w:noProof/>
            <w:color w:val="222222"/>
            <w:sz w:val="24"/>
            <w:szCs w:val="24"/>
            <w:vertAlign w:val="superscript"/>
          </w:rPr>
          <w:t>15</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0C6CB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Pr="005C5FEC">
        <w:rPr>
          <w:rFonts w:ascii="Times New Roman" w:eastAsia="Times New Roman" w:hAnsi="Times New Roman" w:cs="Times New Roman"/>
          <w:color w:val="222222"/>
          <w:sz w:val="24"/>
          <w:szCs w:val="24"/>
        </w:rPr>
        <w:t xml:space="preserve">tomic detail </w:t>
      </w:r>
      <w:r>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trace concentrations of intracellular calcium ions 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part of the calculation</w:t>
      </w:r>
      <w:r w:rsidR="00FE76E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FE76E0"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concentration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9E7E1C">
        <w:rPr>
          <w:rFonts w:ascii="Times New Roman" w:eastAsia="Times New Roman" w:hAnsi="Times New Roman" w:cs="Times New Roman"/>
          <w:color w:val="222222"/>
          <w:sz w:val="24"/>
          <w:szCs w:val="24"/>
        </w:rPr>
        <w:fldChar w:fldCharType="begin"/>
      </w:r>
      <w:r w:rsidR="009E7E1C">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face="superscript"&gt;12, 16&lt;/style&gt;&lt;/DisplayText&gt;&lt;record&gt;&lt;rec-number&gt;134&lt;/rec-number&gt;&lt;foreign-keys&gt;&lt;key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9E7E1C">
        <w:rPr>
          <w:rFonts w:ascii="Times New Roman" w:eastAsia="Times New Roman" w:hAnsi="Times New Roman" w:cs="Times New Roman"/>
          <w:color w:val="222222"/>
          <w:sz w:val="24"/>
          <w:szCs w:val="24"/>
        </w:rPr>
        <w:fldChar w:fldCharType="separate"/>
      </w:r>
      <w:hyperlink w:anchor="_ENREF_12" w:tooltip="Hille, 2001 #686" w:history="1">
        <w:r w:rsidR="009E7E1C" w:rsidRPr="00FF0BD0">
          <w:rPr>
            <w:rFonts w:ascii="Times New Roman" w:eastAsia="Times New Roman" w:hAnsi="Times New Roman" w:cs="Times New Roman"/>
            <w:noProof/>
            <w:color w:val="222222"/>
            <w:sz w:val="24"/>
            <w:szCs w:val="24"/>
            <w:vertAlign w:val="superscript"/>
          </w:rPr>
          <w:t>12</w:t>
        </w:r>
      </w:hyperlink>
      <w:r w:rsidR="009E7E1C" w:rsidRPr="00FF0BD0">
        <w:rPr>
          <w:rFonts w:ascii="Times New Roman" w:eastAsia="Times New Roman" w:hAnsi="Times New Roman" w:cs="Times New Roman"/>
          <w:noProof/>
          <w:color w:val="222222"/>
          <w:sz w:val="24"/>
          <w:szCs w:val="24"/>
          <w:vertAlign w:val="superscript"/>
        </w:rPr>
        <w:t xml:space="preserve">, </w:t>
      </w:r>
      <w:hyperlink w:anchor="_ENREF_16" w:tooltip="Alberts, 1994 #134" w:history="1">
        <w:r w:rsidR="009E7E1C" w:rsidRPr="00FF0BD0">
          <w:rPr>
            <w:rFonts w:ascii="Times New Roman" w:eastAsia="Times New Roman" w:hAnsi="Times New Roman" w:cs="Times New Roman"/>
            <w:noProof/>
            <w:color w:val="222222"/>
            <w:sz w:val="24"/>
            <w:szCs w:val="24"/>
            <w:vertAlign w:val="superscript"/>
          </w:rPr>
          <w:t>16</w:t>
        </w:r>
      </w:hyperlink>
      <w:r w:rsidR="009E7E1C">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change properties </w:t>
      </w:r>
      <w:r w:rsidR="006D6093">
        <w:rPr>
          <w:rFonts w:ascii="Times New Roman" w:eastAsia="Times New Roman" w:hAnsi="Times New Roman" w:cs="Times New Roman"/>
          <w:color w:val="222222"/>
          <w:sz w:val="24"/>
          <w:szCs w:val="24"/>
        </w:rPr>
        <w:t>pathologically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measuring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Calibrated simulations should reproduce all the properties of the systems they simulate. So channels should ‘disappear’ in simulations when they disappear in experiments. Uncalibrated simulations are likely to have ‘invisible’ (nonfunctional) channels 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Uncalibrated simulations are likely to have irreproducible (effective) calcium concentrations and so are likely to produce different results in different laboratories. Much confusion would occur in the scientific literature and progress will be slow.</w:t>
      </w:r>
      <w:r w:rsidR="00023C13">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hyperlink w:anchor="_ENREF_1" w:tooltip="Maginn, 2009 #22019" w:history="1">
        <w:r w:rsidR="00A93530" w:rsidRPr="00FF0BD0">
          <w:rPr>
            <w:rFonts w:ascii="Times New Roman" w:eastAsia="Times New Roman" w:hAnsi="Times New Roman" w:cs="Times New Roman"/>
            <w:noProof/>
            <w:color w:val="222222"/>
            <w:sz w:val="24"/>
            <w:szCs w:val="24"/>
            <w:vertAlign w:val="superscript"/>
          </w:rPr>
          <w:t>1</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2" w:tooltip="Post, 2005 #7917" w:history="1">
        <w:r w:rsidR="00A93530" w:rsidRPr="00FF0BD0">
          <w:rPr>
            <w:rFonts w:ascii="Times New Roman" w:eastAsia="Times New Roman" w:hAnsi="Times New Roman" w:cs="Times New Roman"/>
            <w:noProof/>
            <w:color w:val="222222"/>
            <w:sz w:val="24"/>
            <w:szCs w:val="24"/>
            <w:vertAlign w:val="superscript"/>
          </w:rPr>
          <w:t>2</w:t>
        </w:r>
      </w:hyperlink>
      <w:r>
        <w:rPr>
          <w:rFonts w:ascii="Times New Roman" w:eastAsia="Times New Roman" w:hAnsi="Times New Roman" w:cs="Times New Roman"/>
          <w:color w:val="222222"/>
          <w:sz w:val="24"/>
          <w:szCs w:val="24"/>
        </w:rPr>
        <w:fldChar w:fldCharType="end"/>
      </w:r>
    </w:p>
    <w:p w:rsidR="00307614" w:rsidRDefault="00307614" w:rsidP="00053321">
      <w:pPr>
        <w:spacing w:after="0" w:line="240" w:lineRule="auto"/>
        <w:jc w:val="both"/>
        <w:rPr>
          <w:rFonts w:ascii="Times New Roman" w:eastAsia="Times New Roman" w:hAnsi="Times New Roman" w:cs="Times New Roman"/>
          <w:color w:val="222222"/>
          <w:sz w:val="24"/>
          <w:szCs w:val="24"/>
        </w:rPr>
      </w:pPr>
    </w:p>
    <w:p w:rsidR="00307614" w:rsidRPr="00307614" w:rsidRDefault="00307614"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 xml:space="preserve">ions moving through channels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E45C9B" w:rsidRDefault="008B7345" w:rsidP="00E45C9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r>
      <w:r w:rsidR="00B6084F">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E45C9B" w:rsidRDefault="00E45C9B" w:rsidP="00E45C9B">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7" w:tooltip="Vasileska, 2010 #22711"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face="superscript"&gt;17&lt;/style&gt;&lt;/DisplayText&gt;&lt;record&gt;&lt;rec-number&gt;22711&lt;/rec-number&gt;&lt;foreign-keys&gt;&lt;key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A93530">
          <w:rPr>
            <w:rFonts w:ascii="Times New Roman" w:eastAsia="Times New Roman" w:hAnsi="Times New Roman" w:cs="Times New Roman"/>
            <w:noProof/>
            <w:color w:val="222222"/>
            <w:sz w:val="24"/>
            <w:szCs w:val="24"/>
            <w:vertAlign w:val="superscript"/>
          </w:rPr>
          <w:t>17</w:t>
        </w:r>
        <w:r w:rsidR="00A93530">
          <w:rPr>
            <w:rFonts w:ascii="Times New Roman" w:eastAsia="Times New Roman" w:hAnsi="Times New Roman" w:cs="Times New Roman"/>
            <w:color w:val="222222"/>
            <w:sz w:val="24"/>
            <w:szCs w:val="24"/>
          </w:rPr>
          <w:fldChar w:fldCharType="end"/>
        </w:r>
      </w:hyperlink>
    </w:p>
    <w:p w:rsidR="00991BDD" w:rsidRPr="005C5FEC" w:rsidRDefault="001543A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991BDD">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 xml:space="preserve">the laws of electricity, and of electrodiffusion, to simplify the simulation.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bookmarkStart w:id="15" w:name="OLE_LINK15"/>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A93530">
        <w:rPr>
          <w:rFonts w:ascii="Times New Roman" w:eastAsia="Times New Roman" w:hAnsi="Times New Roman" w:cs="Times New Roman"/>
          <w:color w:val="222222"/>
          <w:sz w:val="24"/>
          <w:szCs w:val="24"/>
        </w:rPr>
        <w:instrText xml:space="preserve"> ADDIN EN.CITE </w:instrText>
      </w:r>
      <w:r w:rsidR="00A93530">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A93530">
        <w:rPr>
          <w:rFonts w:ascii="Times New Roman" w:eastAsia="Times New Roman" w:hAnsi="Times New Roman" w:cs="Times New Roman"/>
          <w:color w:val="222222"/>
          <w:sz w:val="24"/>
          <w:szCs w:val="24"/>
        </w:rPr>
        <w:instrText xml:space="preserve"> ADDIN EN.CITE.DATA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r>
      <w:r w:rsidR="00863477">
        <w:rPr>
          <w:rFonts w:ascii="Times New Roman" w:eastAsia="Times New Roman" w:hAnsi="Times New Roman" w:cs="Times New Roman"/>
          <w:color w:val="222222"/>
          <w:sz w:val="24"/>
          <w:szCs w:val="24"/>
        </w:rPr>
        <w:fldChar w:fldCharType="separate"/>
      </w:r>
      <w:hyperlink w:anchor="_ENREF_18" w:tooltip="Gillespie, 2008 #11706" w:history="1">
        <w:r w:rsidR="00A93530" w:rsidRPr="00A93530">
          <w:rPr>
            <w:rFonts w:ascii="Times New Roman" w:eastAsia="Times New Roman" w:hAnsi="Times New Roman" w:cs="Times New Roman"/>
            <w:noProof/>
            <w:color w:val="222222"/>
            <w:sz w:val="24"/>
            <w:szCs w:val="24"/>
            <w:vertAlign w:val="superscript"/>
          </w:rPr>
          <w:t>18</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A93530" w:rsidRPr="00A93530">
          <w:rPr>
            <w:rFonts w:ascii="Times New Roman" w:eastAsia="Times New Roman" w:hAnsi="Times New Roman" w:cs="Times New Roman"/>
            <w:noProof/>
            <w:color w:val="222222"/>
            <w:sz w:val="24"/>
            <w:szCs w:val="24"/>
            <w:vertAlign w:val="superscript"/>
          </w:rPr>
          <w:t>19</w:t>
        </w:r>
      </w:hyperlink>
      <w:r w:rsidR="00863477">
        <w:rPr>
          <w:rFonts w:ascii="Times New Roman" w:eastAsia="Times New Roman" w:hAnsi="Times New Roman" w:cs="Times New Roman"/>
          <w:color w:val="222222"/>
          <w:sz w:val="24"/>
          <w:szCs w:val="24"/>
        </w:rPr>
        <w:fldChar w:fldCharType="end"/>
      </w:r>
      <w:bookmarkEnd w:id="15"/>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xml:space="preserve">, if they are to help biologists and physicians in their everyday work.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2F414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ulti-scale analysis</w:t>
      </w:r>
      <w:r w:rsidR="00FF0BD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aXB0Ij4xOCwgMTksIDIwPC9zdHlsZT48L0Rpc3BsYXlUZXh0PjxyZWNvcmQ+PHJlYy1udW1iZXI+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A93530">
        <w:rPr>
          <w:rFonts w:ascii="Times New Roman" w:eastAsia="Times New Roman" w:hAnsi="Times New Roman" w:cs="Times New Roman"/>
          <w:color w:val="222222"/>
          <w:sz w:val="24"/>
          <w:szCs w:val="24"/>
        </w:rPr>
        <w:instrText xml:space="preserve"> ADDIN EN.CITE </w:instrText>
      </w:r>
      <w:r w:rsidR="00A9353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aXB0Ij4xOCwgMTksIDIwPC9zdHlsZT48L0Rpc3BsYXlUZXh0PjxyZWNvcmQ+PHJlYy1udW1iZXI+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A93530">
        <w:rPr>
          <w:rFonts w:ascii="Times New Roman" w:eastAsia="Times New Roman" w:hAnsi="Times New Roman" w:cs="Times New Roman"/>
          <w:color w:val="222222"/>
          <w:sz w:val="24"/>
          <w:szCs w:val="24"/>
        </w:rPr>
        <w:instrText xml:space="preserve"> ADDIN EN.CITE.DATA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separate"/>
      </w:r>
      <w:hyperlink w:anchor="_ENREF_18" w:tooltip="Gillespie, 2008 #11706" w:history="1">
        <w:r w:rsidR="00A93530" w:rsidRPr="00A93530">
          <w:rPr>
            <w:rFonts w:ascii="Times New Roman" w:eastAsia="Times New Roman" w:hAnsi="Times New Roman" w:cs="Times New Roman"/>
            <w:noProof/>
            <w:color w:val="222222"/>
            <w:sz w:val="24"/>
            <w:szCs w:val="24"/>
            <w:vertAlign w:val="superscript"/>
          </w:rPr>
          <w:t>18</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A93530" w:rsidRPr="00A93530">
          <w:rPr>
            <w:rFonts w:ascii="Times New Roman" w:eastAsia="Times New Roman" w:hAnsi="Times New Roman" w:cs="Times New Roman"/>
            <w:noProof/>
            <w:color w:val="222222"/>
            <w:sz w:val="24"/>
            <w:szCs w:val="24"/>
            <w:vertAlign w:val="superscript"/>
          </w:rPr>
          <w:t>19</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20" w:tooltip="Eisenberg, 2010 #12061" w:history="1">
        <w:r w:rsidR="00A93530" w:rsidRPr="00A93530">
          <w:rPr>
            <w:rFonts w:ascii="Times New Roman" w:eastAsia="Times New Roman" w:hAnsi="Times New Roman" w:cs="Times New Roman"/>
            <w:noProof/>
            <w:color w:val="222222"/>
            <w:sz w:val="24"/>
            <w:szCs w:val="24"/>
            <w:vertAlign w:val="superscript"/>
          </w:rPr>
          <w:t>20</w:t>
        </w:r>
      </w:hyperlink>
      <w:r w:rsidR="00FF0BD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 to reach that goal, </w:t>
      </w:r>
      <w:r>
        <w:rPr>
          <w:rFonts w:ascii="Times New Roman" w:eastAsia="Times New Roman" w:hAnsi="Times New Roman" w:cs="Times New Roman"/>
          <w:color w:val="222222"/>
          <w:sz w:val="24"/>
          <w:szCs w:val="24"/>
        </w:rPr>
        <w:t xml:space="preserve">in my view, </w:t>
      </w:r>
      <w:r w:rsidR="00A20456">
        <w:rPr>
          <w:rFonts w:ascii="Times New Roman" w:eastAsia="Times New Roman" w:hAnsi="Times New Roman" w:cs="Times New Roman"/>
          <w:color w:val="222222"/>
          <w:sz w:val="24"/>
          <w:szCs w:val="24"/>
        </w:rPr>
        <w:t xml:space="preserve">motivated and focused by </w:t>
      </w:r>
      <w:r>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Pr>
          <w:rFonts w:ascii="Times New Roman" w:eastAsia="Times New Roman" w:hAnsi="Times New Roman" w:cs="Times New Roman"/>
          <w:color w:val="222222"/>
          <w:sz w:val="24"/>
          <w:szCs w:val="24"/>
        </w:rPr>
        <w:t xml:space="preserve"> cannot do.</w:t>
      </w:r>
    </w:p>
    <w:p w:rsidR="007C2BE5" w:rsidRDefault="007C2BE5" w:rsidP="00053321">
      <w:pPr>
        <w:jc w:val="both"/>
        <w:rPr>
          <w:rFonts w:ascii="Times New Roman" w:hAnsi="Times New Roman" w:cs="Times New Roman"/>
        </w:rPr>
      </w:pPr>
    </w:p>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7C2BE5" w:rsidRDefault="007C2BE5" w:rsidP="00053321">
      <w:pPr>
        <w:jc w:val="both"/>
        <w:rPr>
          <w:rFonts w:ascii="Times New Roman" w:hAnsi="Times New Roman" w:cs="Times New Roman"/>
        </w:rPr>
      </w:pPr>
    </w:p>
    <w:p w:rsidR="00A93530" w:rsidRPr="00A93530" w:rsidRDefault="007C2BE5" w:rsidP="00A93530">
      <w:pPr>
        <w:pStyle w:val="EndNoteBibliographyTitle"/>
        <w:rPr>
          <w:b/>
          <w:u w:val="single"/>
        </w:rPr>
      </w:pPr>
      <w:r>
        <w:fldChar w:fldCharType="begin"/>
      </w:r>
      <w:r>
        <w:instrText xml:space="preserve"> ADDIN EN.REFLIST </w:instrText>
      </w:r>
      <w:r>
        <w:fldChar w:fldCharType="separate"/>
      </w:r>
      <w:r w:rsidR="00A93530" w:rsidRPr="00A93530">
        <w:rPr>
          <w:b/>
          <w:u w:val="single"/>
        </w:rPr>
        <w:t>References</w:t>
      </w:r>
    </w:p>
    <w:p w:rsidR="00A93530" w:rsidRPr="00A93530" w:rsidRDefault="00A93530" w:rsidP="00A93530">
      <w:pPr>
        <w:pStyle w:val="EndNoteBibliographyTitle"/>
        <w:rPr>
          <w:b/>
          <w:u w:val="single"/>
        </w:rPr>
      </w:pPr>
    </w:p>
    <w:p w:rsidR="00A93530" w:rsidRPr="00A93530" w:rsidRDefault="00A93530" w:rsidP="00A93530">
      <w:pPr>
        <w:pStyle w:val="EndNoteBibliography"/>
        <w:spacing w:after="0"/>
      </w:pPr>
      <w:bookmarkStart w:id="16" w:name="_ENREF_1"/>
      <w:r w:rsidRPr="00A93530">
        <w:t>1.</w:t>
      </w:r>
      <w:r w:rsidRPr="00A93530">
        <w:tab/>
        <w:t xml:space="preserve">Maginn, E. J. From discovery to data: What must happen for molecular simulation to become a mainstream chemical engineering tool. </w:t>
      </w:r>
      <w:r w:rsidRPr="00A93530">
        <w:rPr>
          <w:i/>
        </w:rPr>
        <w:t xml:space="preserve">AIChE Journal </w:t>
      </w:r>
      <w:r w:rsidRPr="00A93530">
        <w:rPr>
          <w:b/>
        </w:rPr>
        <w:t>2009,</w:t>
      </w:r>
      <w:r w:rsidRPr="00A93530">
        <w:t xml:space="preserve"> </w:t>
      </w:r>
      <w:r w:rsidRPr="00A93530">
        <w:rPr>
          <w:i/>
        </w:rPr>
        <w:t>55</w:t>
      </w:r>
      <w:r w:rsidRPr="00A93530">
        <w:t xml:space="preserve"> (6), 1304-1310.</w:t>
      </w:r>
      <w:bookmarkEnd w:id="16"/>
    </w:p>
    <w:p w:rsidR="00A93530" w:rsidRPr="00A93530" w:rsidRDefault="00A93530" w:rsidP="00A93530">
      <w:pPr>
        <w:pStyle w:val="EndNoteBibliography"/>
        <w:spacing w:after="0"/>
      </w:pPr>
      <w:bookmarkStart w:id="17" w:name="_ENREF_2"/>
      <w:r w:rsidRPr="00A93530">
        <w:t>2.</w:t>
      </w:r>
      <w:r w:rsidRPr="00A93530">
        <w:tab/>
        <w:t xml:space="preserve">Post, D. E.; Votta, L. G. Computational Science Demands a New Paradigm. </w:t>
      </w:r>
      <w:r w:rsidRPr="00A93530">
        <w:rPr>
          <w:i/>
        </w:rPr>
        <w:t xml:space="preserve">Physics Today </w:t>
      </w:r>
      <w:r w:rsidRPr="00A93530">
        <w:rPr>
          <w:b/>
        </w:rPr>
        <w:t>2005,</w:t>
      </w:r>
      <w:r w:rsidRPr="00A93530">
        <w:t xml:space="preserve"> </w:t>
      </w:r>
      <w:r w:rsidRPr="00A93530">
        <w:rPr>
          <w:i/>
        </w:rPr>
        <w:t>58</w:t>
      </w:r>
      <w:r w:rsidRPr="00A93530">
        <w:t>, 35-41.</w:t>
      </w:r>
      <w:bookmarkEnd w:id="17"/>
    </w:p>
    <w:p w:rsidR="00A93530" w:rsidRPr="00A93530" w:rsidRDefault="00A93530" w:rsidP="00A93530">
      <w:pPr>
        <w:pStyle w:val="EndNoteBibliography"/>
        <w:spacing w:after="0"/>
      </w:pPr>
      <w:bookmarkStart w:id="18" w:name="_ENREF_3"/>
      <w:r w:rsidRPr="00A93530">
        <w:t>3.</w:t>
      </w:r>
      <w:r w:rsidRPr="00A93530">
        <w:tab/>
        <w:t xml:space="preserve">Eisenberg, R. S. Channels as enzymes: Oxymoron and Tautology. </w:t>
      </w:r>
      <w:r w:rsidRPr="00A93530">
        <w:rPr>
          <w:i/>
        </w:rPr>
        <w:t xml:space="preserve">Journal of Membrane Biology </w:t>
      </w:r>
      <w:r w:rsidRPr="00A93530">
        <w:rPr>
          <w:b/>
        </w:rPr>
        <w:t>1990,</w:t>
      </w:r>
      <w:r w:rsidRPr="00A93530">
        <w:t xml:space="preserve"> </w:t>
      </w:r>
      <w:r w:rsidRPr="00A93530">
        <w:rPr>
          <w:i/>
        </w:rPr>
        <w:t>115</w:t>
      </w:r>
      <w:r w:rsidRPr="00A93530">
        <w:t xml:space="preserve">, 1–12.  Available on arXiv as  </w:t>
      </w:r>
      <w:hyperlink r:id="rId9" w:history="1">
        <w:r w:rsidRPr="00A93530">
          <w:rPr>
            <w:rStyle w:val="Hyperlink"/>
          </w:rPr>
          <w:t>http://arxiv.org/abs/1112.2363</w:t>
        </w:r>
      </w:hyperlink>
      <w:r w:rsidRPr="00A93530">
        <w:t>.</w:t>
      </w:r>
      <w:bookmarkEnd w:id="18"/>
    </w:p>
    <w:p w:rsidR="00A93530" w:rsidRPr="00A93530" w:rsidRDefault="00A93530" w:rsidP="00A93530">
      <w:pPr>
        <w:pStyle w:val="EndNoteBibliography"/>
        <w:spacing w:after="0"/>
      </w:pPr>
      <w:bookmarkStart w:id="19" w:name="_ENREF_4"/>
      <w:r w:rsidRPr="00A93530">
        <w:t>4.</w:t>
      </w:r>
      <w:r w:rsidRPr="00A93530">
        <w:tab/>
        <w:t xml:space="preserve">Jack, J. J. B.; Noble, D.; Tsien, R. W. </w:t>
      </w:r>
      <w:r w:rsidRPr="00A93530">
        <w:rPr>
          <w:i/>
        </w:rPr>
        <w:t>Electric Current Flow in Excitable Cells</w:t>
      </w:r>
      <w:r w:rsidRPr="00A93530">
        <w:t>; Oxford, Clarendon Press.: New York, 1975.</w:t>
      </w:r>
      <w:bookmarkEnd w:id="19"/>
    </w:p>
    <w:p w:rsidR="00A93530" w:rsidRPr="00A93530" w:rsidRDefault="00A93530" w:rsidP="00A93530">
      <w:pPr>
        <w:pStyle w:val="EndNoteBibliography"/>
        <w:spacing w:after="0"/>
      </w:pPr>
      <w:bookmarkStart w:id="20" w:name="_ENREF_5"/>
      <w:r w:rsidRPr="00A93530">
        <w:t>5.</w:t>
      </w:r>
      <w:r w:rsidRPr="00A93530">
        <w:tab/>
        <w:t xml:space="preserve">Gabbiani, F.; Cox, S. J. </w:t>
      </w:r>
      <w:r w:rsidRPr="00A93530">
        <w:rPr>
          <w:i/>
        </w:rPr>
        <w:t>Mathematics for Neuroscientists</w:t>
      </w:r>
      <w:r w:rsidRPr="00A93530">
        <w:t>; Academic Press: New York, 2010.</w:t>
      </w:r>
      <w:bookmarkEnd w:id="20"/>
    </w:p>
    <w:p w:rsidR="00A93530" w:rsidRPr="00A93530" w:rsidRDefault="00A93530" w:rsidP="00A93530">
      <w:pPr>
        <w:pStyle w:val="EndNoteBibliography"/>
        <w:spacing w:after="0"/>
      </w:pPr>
      <w:bookmarkStart w:id="21" w:name="_ENREF_6"/>
      <w:r w:rsidRPr="00A93530">
        <w:t>6.</w:t>
      </w:r>
      <w:r w:rsidRPr="00A93530">
        <w:tab/>
        <w:t xml:space="preserve">Huxley, A. Sir Alan Lloyd Hodgkin, O. M., K. B. E. 5 February 1914-20 December 1998. </w:t>
      </w:r>
      <w:r w:rsidRPr="00A93530">
        <w:rPr>
          <w:i/>
        </w:rPr>
        <w:t xml:space="preserve">Biographical Memoirs of Fellows of the Royal Society </w:t>
      </w:r>
      <w:r w:rsidRPr="00A93530">
        <w:rPr>
          <w:b/>
        </w:rPr>
        <w:t>2000,</w:t>
      </w:r>
      <w:r w:rsidRPr="00A93530">
        <w:t xml:space="preserve"> </w:t>
      </w:r>
      <w:r w:rsidRPr="00A93530">
        <w:rPr>
          <w:i/>
        </w:rPr>
        <w:t>46</w:t>
      </w:r>
      <w:r w:rsidRPr="00A93530">
        <w:t>, 221-241.</w:t>
      </w:r>
      <w:bookmarkEnd w:id="21"/>
    </w:p>
    <w:p w:rsidR="00A93530" w:rsidRPr="00A93530" w:rsidRDefault="00A93530" w:rsidP="00A93530">
      <w:pPr>
        <w:pStyle w:val="EndNoteBibliography"/>
        <w:spacing w:after="0"/>
      </w:pPr>
      <w:bookmarkStart w:id="22" w:name="_ENREF_7"/>
      <w:r w:rsidRPr="00A93530">
        <w:t>7.</w:t>
      </w:r>
      <w:r w:rsidRPr="00A93530">
        <w:tab/>
        <w:t xml:space="preserve">Huxley, A. F. Kenneth Stewart Cole. </w:t>
      </w:r>
      <w:r w:rsidRPr="00A93530">
        <w:rPr>
          <w:i/>
        </w:rPr>
        <w:t xml:space="preserve">Biographical Memoirs of Fellows of the Royal Society </w:t>
      </w:r>
      <w:r w:rsidRPr="00A93530">
        <w:rPr>
          <w:b/>
        </w:rPr>
        <w:t>1992,</w:t>
      </w:r>
      <w:r w:rsidRPr="00A93530">
        <w:t xml:space="preserve"> </w:t>
      </w:r>
      <w:r w:rsidRPr="00A93530">
        <w:rPr>
          <w:i/>
        </w:rPr>
        <w:t>38</w:t>
      </w:r>
      <w:r w:rsidRPr="00A93530">
        <w:t xml:space="preserve">, 98-110  , see  </w:t>
      </w:r>
      <w:hyperlink r:id="rId10" w:history="1">
        <w:r w:rsidRPr="00A93530">
          <w:rPr>
            <w:rStyle w:val="Hyperlink"/>
          </w:rPr>
          <w:t>http://books.nap.edu/html/biomems/kcole.pdf</w:t>
        </w:r>
      </w:hyperlink>
      <w:r w:rsidRPr="00A93530">
        <w:t xml:space="preserve">    </w:t>
      </w:r>
      <w:bookmarkEnd w:id="22"/>
    </w:p>
    <w:p w:rsidR="00A93530" w:rsidRPr="00A93530" w:rsidRDefault="00A93530" w:rsidP="00A93530">
      <w:pPr>
        <w:pStyle w:val="EndNoteBibliography"/>
        <w:spacing w:after="0"/>
      </w:pPr>
      <w:bookmarkStart w:id="23" w:name="_ENREF_8"/>
      <w:r w:rsidRPr="00A93530">
        <w:t>8.</w:t>
      </w:r>
      <w:r w:rsidRPr="00A93530">
        <w:tab/>
        <w:t xml:space="preserve">Huxley, A. F. From overshoot to voltage clamp. </w:t>
      </w:r>
      <w:r w:rsidRPr="00A93530">
        <w:rPr>
          <w:i/>
        </w:rPr>
        <w:t xml:space="preserve">Trends in neurosciences </w:t>
      </w:r>
      <w:r w:rsidRPr="00A93530">
        <w:rPr>
          <w:b/>
        </w:rPr>
        <w:t>2002,</w:t>
      </w:r>
      <w:r w:rsidRPr="00A93530">
        <w:t xml:space="preserve"> </w:t>
      </w:r>
      <w:r w:rsidRPr="00A93530">
        <w:rPr>
          <w:i/>
        </w:rPr>
        <w:t xml:space="preserve">25 </w:t>
      </w:r>
      <w:r w:rsidRPr="00A93530">
        <w:t>(11), 553-558.</w:t>
      </w:r>
      <w:bookmarkEnd w:id="23"/>
    </w:p>
    <w:p w:rsidR="00A93530" w:rsidRPr="00A93530" w:rsidRDefault="00A93530" w:rsidP="00A93530">
      <w:pPr>
        <w:pStyle w:val="EndNoteBibliography"/>
        <w:spacing w:after="0"/>
      </w:pPr>
      <w:bookmarkStart w:id="24" w:name="_ENREF_9"/>
      <w:r w:rsidRPr="00A93530">
        <w:t>9.</w:t>
      </w:r>
      <w:r w:rsidRPr="00A93530">
        <w:tab/>
        <w:t xml:space="preserve">Neher, E. Ion channels for communication between and within cells Nobel Lecture, December 9, 1991. In </w:t>
      </w:r>
      <w:r w:rsidRPr="00A93530">
        <w:rPr>
          <w:i/>
        </w:rPr>
        <w:t>Nobel Lectures, Physiology or Medicine 1991-1995</w:t>
      </w:r>
      <w:r w:rsidRPr="00A93530">
        <w:t>, Ringertz, N., Ed.; World Scientific Publishing Co: Singapore, 1997, pp 10-25.</w:t>
      </w:r>
      <w:bookmarkEnd w:id="24"/>
    </w:p>
    <w:p w:rsidR="00A93530" w:rsidRPr="00A93530" w:rsidRDefault="00A93530" w:rsidP="00A93530">
      <w:pPr>
        <w:pStyle w:val="EndNoteBibliography"/>
        <w:spacing w:after="0"/>
      </w:pPr>
      <w:bookmarkStart w:id="25" w:name="_ENREF_10"/>
      <w:r w:rsidRPr="00A93530">
        <w:t>10.</w:t>
      </w:r>
      <w:r w:rsidRPr="00A93530">
        <w:tab/>
        <w:t xml:space="preserve">Sakmann, B.; Neher, E. </w:t>
      </w:r>
      <w:r w:rsidRPr="00A93530">
        <w:rPr>
          <w:i/>
        </w:rPr>
        <w:t>Single Channel Recording.</w:t>
      </w:r>
      <w:r w:rsidRPr="00A93530">
        <w:t>; Second ed.; Plenum: New York, 1995. p 700.</w:t>
      </w:r>
      <w:bookmarkEnd w:id="25"/>
    </w:p>
    <w:p w:rsidR="00A93530" w:rsidRPr="00A93530" w:rsidRDefault="00A93530" w:rsidP="00A93530">
      <w:pPr>
        <w:pStyle w:val="EndNoteBibliography"/>
        <w:spacing w:after="0"/>
      </w:pPr>
      <w:bookmarkStart w:id="26" w:name="_ENREF_11"/>
      <w:r w:rsidRPr="00A93530">
        <w:t>11.</w:t>
      </w:r>
      <w:r w:rsidRPr="00A93530">
        <w:tab/>
        <w:t xml:space="preserve">Eisenberg, B. Multiple Scales in the Simulation of Ion Channels and Proteins. </w:t>
      </w:r>
      <w:r w:rsidRPr="00A93530">
        <w:rPr>
          <w:i/>
        </w:rPr>
        <w:t xml:space="preserve">The Journal of Physical Chemistry C </w:t>
      </w:r>
      <w:r w:rsidRPr="00A93530">
        <w:rPr>
          <w:b/>
        </w:rPr>
        <w:t>2010,</w:t>
      </w:r>
      <w:r w:rsidRPr="00A93530">
        <w:t xml:space="preserve"> </w:t>
      </w:r>
      <w:r w:rsidRPr="00A93530">
        <w:rPr>
          <w:i/>
        </w:rPr>
        <w:t>114</w:t>
      </w:r>
      <w:r w:rsidRPr="00A93530">
        <w:t xml:space="preserve"> (48), 20719-20733.</w:t>
      </w:r>
      <w:bookmarkEnd w:id="26"/>
    </w:p>
    <w:p w:rsidR="00A93530" w:rsidRPr="00A93530" w:rsidRDefault="00A93530" w:rsidP="00A93530">
      <w:pPr>
        <w:pStyle w:val="EndNoteBibliography"/>
        <w:spacing w:after="0"/>
      </w:pPr>
      <w:bookmarkStart w:id="27" w:name="_ENREF_12"/>
      <w:r w:rsidRPr="00A93530">
        <w:t>12.</w:t>
      </w:r>
      <w:r w:rsidRPr="00A93530">
        <w:tab/>
        <w:t xml:space="preserve">Hille, B. </w:t>
      </w:r>
      <w:r w:rsidRPr="00A93530">
        <w:rPr>
          <w:i/>
        </w:rPr>
        <w:t>Ionic Channels of Excitable Membranes</w:t>
      </w:r>
      <w:r w:rsidRPr="00A93530">
        <w:t>; 3rd ed.; Sinauer Associates Inc.: Sunderland, 2001. p 1-814.</w:t>
      </w:r>
      <w:bookmarkEnd w:id="27"/>
    </w:p>
    <w:p w:rsidR="00A93530" w:rsidRPr="00A93530" w:rsidRDefault="00A93530" w:rsidP="00A93530">
      <w:pPr>
        <w:pStyle w:val="EndNoteBibliography"/>
        <w:spacing w:after="0"/>
      </w:pPr>
      <w:bookmarkStart w:id="28" w:name="_ENREF_13"/>
      <w:r w:rsidRPr="00A93530">
        <w:t>13.</w:t>
      </w:r>
      <w:r w:rsidRPr="00A93530">
        <w:tab/>
        <w:t xml:space="preserve">Fawcett, W. R. </w:t>
      </w:r>
      <w:r w:rsidRPr="00A93530">
        <w:rPr>
          <w:i/>
        </w:rPr>
        <w:t>Liquids, Solutions, and Interfaces: From Classical Macroscopic Descriptions to Modern Microscopic Details</w:t>
      </w:r>
      <w:r w:rsidRPr="00A93530">
        <w:t>; Oxford University Press: New York, 2004. p 621.</w:t>
      </w:r>
      <w:bookmarkEnd w:id="28"/>
    </w:p>
    <w:p w:rsidR="00A93530" w:rsidRPr="00A93530" w:rsidRDefault="00A93530" w:rsidP="00A93530">
      <w:pPr>
        <w:pStyle w:val="EndNoteBibliography"/>
        <w:spacing w:after="0"/>
      </w:pPr>
      <w:bookmarkStart w:id="29" w:name="_ENREF_14"/>
      <w:r w:rsidRPr="00A93530">
        <w:t>14.</w:t>
      </w:r>
      <w:r w:rsidRPr="00A93530">
        <w:tab/>
        <w:t xml:space="preserve">Laidler, K. J.; Meiser, J. H.; Sanctuary, B. C. </w:t>
      </w:r>
      <w:r w:rsidRPr="00A93530">
        <w:rPr>
          <w:i/>
        </w:rPr>
        <w:t>Physical Chemistry</w:t>
      </w:r>
      <w:r w:rsidRPr="00A93530">
        <w:t>; Fourth ed.; BrooksCole, Belmont CA2003. p 1060.</w:t>
      </w:r>
      <w:bookmarkEnd w:id="29"/>
    </w:p>
    <w:p w:rsidR="00A93530" w:rsidRPr="00A93530" w:rsidRDefault="00A93530" w:rsidP="00A93530">
      <w:pPr>
        <w:pStyle w:val="EndNoteBibliography"/>
        <w:spacing w:after="0"/>
      </w:pPr>
      <w:bookmarkStart w:id="30" w:name="_ENREF_15"/>
      <w:r w:rsidRPr="00A93530">
        <w:t>15.</w:t>
      </w:r>
      <w:r w:rsidRPr="00A93530">
        <w:tab/>
        <w:t xml:space="preserve">Eisenberg, B. Interacting ions in Biophysics: Real is not ideal. . </w:t>
      </w:r>
      <w:r w:rsidRPr="00A93530">
        <w:rPr>
          <w:i/>
        </w:rPr>
        <w:t xml:space="preserve">Biophysical Journal </w:t>
      </w:r>
      <w:r w:rsidRPr="00A93530">
        <w:rPr>
          <w:b/>
        </w:rPr>
        <w:t>2013,</w:t>
      </w:r>
      <w:r w:rsidRPr="00A93530">
        <w:t xml:space="preserve"> </w:t>
      </w:r>
      <w:r w:rsidRPr="00A93530">
        <w:rPr>
          <w:i/>
        </w:rPr>
        <w:t>104</w:t>
      </w:r>
      <w:r w:rsidRPr="00A93530">
        <w:t>, 1849-1866.</w:t>
      </w:r>
      <w:bookmarkEnd w:id="30"/>
    </w:p>
    <w:p w:rsidR="00A93530" w:rsidRPr="00A93530" w:rsidRDefault="00A93530" w:rsidP="00A93530">
      <w:pPr>
        <w:pStyle w:val="EndNoteBibliography"/>
        <w:spacing w:after="0"/>
      </w:pPr>
      <w:bookmarkStart w:id="31" w:name="_ENREF_16"/>
      <w:r w:rsidRPr="00A93530">
        <w:t>16.</w:t>
      </w:r>
      <w:r w:rsidRPr="00A93530">
        <w:tab/>
        <w:t xml:space="preserve">Alberts, B.; Bray, D.; Lewis, J.; Raff, M.; Roberts, K.; Watson, J. D. </w:t>
      </w:r>
      <w:r w:rsidRPr="00A93530">
        <w:rPr>
          <w:i/>
        </w:rPr>
        <w:t>Molecular Biology of the Cell</w:t>
      </w:r>
      <w:r w:rsidRPr="00A93530">
        <w:t>; Third ed.; Garland: New York, 1994. p 1294.</w:t>
      </w:r>
      <w:bookmarkEnd w:id="31"/>
    </w:p>
    <w:p w:rsidR="00A93530" w:rsidRPr="00A93530" w:rsidRDefault="00A93530" w:rsidP="00A93530">
      <w:pPr>
        <w:pStyle w:val="EndNoteBibliography"/>
        <w:spacing w:after="0"/>
      </w:pPr>
      <w:bookmarkStart w:id="32" w:name="_ENREF_17"/>
      <w:r w:rsidRPr="00A93530">
        <w:t>17.</w:t>
      </w:r>
      <w:r w:rsidRPr="00A93530">
        <w:tab/>
        <w:t xml:space="preserve">Vasileska, D.; Goodnick, S. M.; Klimeck, G. </w:t>
      </w:r>
      <w:r w:rsidRPr="00A93530">
        <w:rPr>
          <w:i/>
        </w:rPr>
        <w:t>Computational Electronics: Semiclassical and Quantum Device Modeling and Simulation</w:t>
      </w:r>
      <w:r w:rsidRPr="00A93530">
        <w:t>; CRC Press: New York, 2010. p 764.</w:t>
      </w:r>
      <w:bookmarkEnd w:id="32"/>
    </w:p>
    <w:p w:rsidR="00A93530" w:rsidRPr="00A93530" w:rsidRDefault="00A93530" w:rsidP="00A93530">
      <w:pPr>
        <w:pStyle w:val="EndNoteBibliography"/>
        <w:spacing w:after="0"/>
      </w:pPr>
      <w:bookmarkStart w:id="33" w:name="_ENREF_18"/>
      <w:r w:rsidRPr="00A93530">
        <w:t>18.</w:t>
      </w:r>
      <w:r w:rsidRPr="00A93530">
        <w:tab/>
        <w:t xml:space="preserve">Gillespie, D. Energetics of divalent selectivity in a calcium channel: the ryanodine receptor case study. </w:t>
      </w:r>
      <w:r w:rsidRPr="00A93530">
        <w:rPr>
          <w:i/>
        </w:rPr>
        <w:t xml:space="preserve">Biophys J </w:t>
      </w:r>
      <w:r w:rsidRPr="00A93530">
        <w:rPr>
          <w:b/>
        </w:rPr>
        <w:t>2008,</w:t>
      </w:r>
      <w:r w:rsidRPr="00A93530">
        <w:t xml:space="preserve"> </w:t>
      </w:r>
      <w:r w:rsidRPr="00A93530">
        <w:rPr>
          <w:i/>
        </w:rPr>
        <w:t>94</w:t>
      </w:r>
      <w:r w:rsidRPr="00A93530">
        <w:t xml:space="preserve"> (4), 1169-84.</w:t>
      </w:r>
      <w:bookmarkEnd w:id="33"/>
    </w:p>
    <w:p w:rsidR="00A93530" w:rsidRPr="00A93530" w:rsidRDefault="00A93530" w:rsidP="00A93530">
      <w:pPr>
        <w:pStyle w:val="EndNoteBibliography"/>
        <w:spacing w:after="0"/>
      </w:pPr>
      <w:bookmarkStart w:id="34" w:name="_ENREF_19"/>
      <w:r w:rsidRPr="00A93530">
        <w:t>19.</w:t>
      </w:r>
      <w:r w:rsidRPr="00A93530">
        <w:tab/>
        <w:t xml:space="preserve">Roux, B. Ion binding sites and their representations by reduced models. </w:t>
      </w:r>
      <w:r w:rsidRPr="00A93530">
        <w:rPr>
          <w:i/>
        </w:rPr>
        <w:t xml:space="preserve">The journal of physical chemistry. B </w:t>
      </w:r>
      <w:r w:rsidRPr="00A93530">
        <w:rPr>
          <w:b/>
        </w:rPr>
        <w:t>2012,</w:t>
      </w:r>
      <w:r w:rsidRPr="00A93530">
        <w:t xml:space="preserve"> </w:t>
      </w:r>
      <w:r w:rsidRPr="00A93530">
        <w:rPr>
          <w:i/>
        </w:rPr>
        <w:t>116</w:t>
      </w:r>
      <w:r w:rsidRPr="00A93530">
        <w:t xml:space="preserve"> (23), 6966-79.</w:t>
      </w:r>
      <w:bookmarkEnd w:id="34"/>
    </w:p>
    <w:p w:rsidR="00A93530" w:rsidRPr="00A93530" w:rsidRDefault="00A93530" w:rsidP="00A93530">
      <w:pPr>
        <w:pStyle w:val="EndNoteBibliography"/>
      </w:pPr>
      <w:bookmarkStart w:id="35" w:name="_ENREF_20"/>
      <w:r w:rsidRPr="00A93530">
        <w:t>20.</w:t>
      </w:r>
      <w:r w:rsidRPr="00A93530">
        <w:tab/>
        <w:t xml:space="preserve">Eisenberg, B.; Hyon, Y.; Liu, C. Energy Variational Analysis EnVarA of Ions in Water and Channels: Field Theory for Primitive Models of Complex Ionic Fluids. </w:t>
      </w:r>
      <w:r w:rsidRPr="00A93530">
        <w:rPr>
          <w:i/>
        </w:rPr>
        <w:t xml:space="preserve">Journal of Chemical Physics </w:t>
      </w:r>
      <w:r w:rsidRPr="00A93530">
        <w:rPr>
          <w:b/>
        </w:rPr>
        <w:t>2010,</w:t>
      </w:r>
      <w:r w:rsidRPr="00A93530">
        <w:t xml:space="preserve"> </w:t>
      </w:r>
      <w:r w:rsidRPr="00A93530">
        <w:rPr>
          <w:i/>
        </w:rPr>
        <w:t>133</w:t>
      </w:r>
      <w:r w:rsidRPr="00A93530">
        <w:t xml:space="preserve">, 104104 </w:t>
      </w:r>
      <w:bookmarkEnd w:id="35"/>
    </w:p>
    <w:p w:rsidR="00965D42" w:rsidRPr="005C5FEC" w:rsidRDefault="007C2BE5" w:rsidP="00053321">
      <w:pPr>
        <w:jc w:val="both"/>
        <w:rPr>
          <w:rFonts w:ascii="Times New Roman" w:hAnsi="Times New Roman" w:cs="Times New Roman"/>
        </w:rPr>
      </w:pPr>
      <w:r>
        <w:rPr>
          <w:rFonts w:ascii="Times New Roman" w:hAnsi="Times New Roman" w:cs="Times New Roman"/>
        </w:rPr>
        <w:fldChar w:fldCharType="end"/>
      </w:r>
    </w:p>
    <w:sectPr w:rsidR="00965D42" w:rsidRPr="005C5FEC">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70" w:rsidRDefault="004F1E70" w:rsidP="00F301EC">
      <w:pPr>
        <w:spacing w:after="0" w:line="240" w:lineRule="auto"/>
      </w:pPr>
      <w:r>
        <w:separator/>
      </w:r>
    </w:p>
  </w:endnote>
  <w:endnote w:type="continuationSeparator" w:id="0">
    <w:p w:rsidR="004F1E70" w:rsidRDefault="004F1E70"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DE799D">
          <w:rPr>
            <w:noProof/>
          </w:rPr>
          <w:t>1</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70" w:rsidRDefault="004F1E70" w:rsidP="00F301EC">
      <w:pPr>
        <w:spacing w:after="0" w:line="240" w:lineRule="auto"/>
      </w:pPr>
      <w:r>
        <w:separator/>
      </w:r>
    </w:p>
  </w:footnote>
  <w:footnote w:type="continuationSeparator" w:id="0">
    <w:p w:rsidR="004F1E70" w:rsidRDefault="004F1E70" w:rsidP="00F301EC">
      <w:pPr>
        <w:spacing w:after="0" w:line="240" w:lineRule="auto"/>
      </w:pPr>
      <w:r>
        <w:continuationSeparator/>
      </w:r>
    </w:p>
  </w:footnote>
  <w:footnote w:id="1">
    <w:p w:rsidR="008B7A1F" w:rsidRPr="00F85B68" w:rsidRDefault="008B7A1F">
      <w:pPr>
        <w:pStyle w:val="FootnoteText"/>
        <w:rPr>
          <w:rFonts w:ascii="Times New Roman" w:hAnsi="Times New Roman" w:cs="Times New Roman"/>
        </w:rPr>
      </w:pPr>
      <w:r>
        <w:rPr>
          <w:rStyle w:val="FootnoteReference"/>
        </w:rPr>
        <w:t>§</w:t>
      </w:r>
      <w:r>
        <w:t xml:space="preserve"> </w:t>
      </w:r>
      <w:r w:rsidRPr="00F85B68">
        <w:rPr>
          <w:rFonts w:ascii="Times New Roman" w:hAnsi="Times New Roman" w:cs="Times New Roman"/>
        </w:rPr>
        <w:t xml:space="preserve">When </w:t>
      </w:r>
      <w:r>
        <w:rPr>
          <w:rFonts w:ascii="Times New Roman" w:hAnsi="Times New Roman" w:cs="Times New Roman"/>
        </w:rPr>
        <w:t>Moore</w:t>
      </w:r>
      <w:r>
        <w:rPr>
          <w:rFonts w:ascii="Times New Roman" w:hAnsi="Times New Roman" w:cs="Times New Roman"/>
          <w:vertAlign w:val="superscript"/>
        </w:rPr>
        <w:t>1</w:t>
      </w:r>
      <w:r>
        <w:rPr>
          <w:rFonts w:ascii="Times New Roman" w:hAnsi="Times New Roman" w:cs="Times New Roman"/>
        </w:rPr>
        <w:t xml:space="preserve"> feared that computer power could not continue to increase very much longer</w:t>
      </w:r>
      <w:r w:rsidR="00A1690F">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53321"/>
    <w:rsid w:val="00094436"/>
    <w:rsid w:val="000A0254"/>
    <w:rsid w:val="000A0EFE"/>
    <w:rsid w:val="000B26AB"/>
    <w:rsid w:val="000B72BB"/>
    <w:rsid w:val="000C27AC"/>
    <w:rsid w:val="000C6CBC"/>
    <w:rsid w:val="000D19C7"/>
    <w:rsid w:val="001543A3"/>
    <w:rsid w:val="00184756"/>
    <w:rsid w:val="001959D6"/>
    <w:rsid w:val="001D5CBE"/>
    <w:rsid w:val="001E0253"/>
    <w:rsid w:val="002049EB"/>
    <w:rsid w:val="00260F87"/>
    <w:rsid w:val="002948AF"/>
    <w:rsid w:val="002C632D"/>
    <w:rsid w:val="002E5E84"/>
    <w:rsid w:val="002F4146"/>
    <w:rsid w:val="002F75DA"/>
    <w:rsid w:val="00307614"/>
    <w:rsid w:val="0031641E"/>
    <w:rsid w:val="00316F15"/>
    <w:rsid w:val="0031745C"/>
    <w:rsid w:val="00334423"/>
    <w:rsid w:val="003619EE"/>
    <w:rsid w:val="0037218B"/>
    <w:rsid w:val="0037658C"/>
    <w:rsid w:val="0039436E"/>
    <w:rsid w:val="003B7966"/>
    <w:rsid w:val="003C50ED"/>
    <w:rsid w:val="003C75B7"/>
    <w:rsid w:val="00406534"/>
    <w:rsid w:val="0041153D"/>
    <w:rsid w:val="004121F2"/>
    <w:rsid w:val="00413C09"/>
    <w:rsid w:val="004C6738"/>
    <w:rsid w:val="004F1E70"/>
    <w:rsid w:val="00516451"/>
    <w:rsid w:val="005412C9"/>
    <w:rsid w:val="0054423F"/>
    <w:rsid w:val="005549A6"/>
    <w:rsid w:val="00571173"/>
    <w:rsid w:val="005A5366"/>
    <w:rsid w:val="005C088E"/>
    <w:rsid w:val="005C5FEC"/>
    <w:rsid w:val="005F3943"/>
    <w:rsid w:val="00604850"/>
    <w:rsid w:val="0061206E"/>
    <w:rsid w:val="00626227"/>
    <w:rsid w:val="006412CF"/>
    <w:rsid w:val="0066504C"/>
    <w:rsid w:val="0067302A"/>
    <w:rsid w:val="00682B9D"/>
    <w:rsid w:val="006B0318"/>
    <w:rsid w:val="006D21BF"/>
    <w:rsid w:val="006D6093"/>
    <w:rsid w:val="006E0401"/>
    <w:rsid w:val="006F07D7"/>
    <w:rsid w:val="00730A41"/>
    <w:rsid w:val="00750E01"/>
    <w:rsid w:val="007617E0"/>
    <w:rsid w:val="00766EB5"/>
    <w:rsid w:val="007B0B45"/>
    <w:rsid w:val="007C2BE5"/>
    <w:rsid w:val="007E5B2B"/>
    <w:rsid w:val="00863477"/>
    <w:rsid w:val="00864234"/>
    <w:rsid w:val="008643A2"/>
    <w:rsid w:val="008B7345"/>
    <w:rsid w:val="008B7A1F"/>
    <w:rsid w:val="008D5643"/>
    <w:rsid w:val="008E79B9"/>
    <w:rsid w:val="00917AA2"/>
    <w:rsid w:val="00923201"/>
    <w:rsid w:val="00991BDD"/>
    <w:rsid w:val="009E33A1"/>
    <w:rsid w:val="009E7E1C"/>
    <w:rsid w:val="00A07282"/>
    <w:rsid w:val="00A15551"/>
    <w:rsid w:val="00A1690F"/>
    <w:rsid w:val="00A20456"/>
    <w:rsid w:val="00A72349"/>
    <w:rsid w:val="00A73917"/>
    <w:rsid w:val="00A77A87"/>
    <w:rsid w:val="00A93530"/>
    <w:rsid w:val="00AA5228"/>
    <w:rsid w:val="00AA5B92"/>
    <w:rsid w:val="00AE0889"/>
    <w:rsid w:val="00AE6F09"/>
    <w:rsid w:val="00AF054E"/>
    <w:rsid w:val="00AF0B32"/>
    <w:rsid w:val="00B017B9"/>
    <w:rsid w:val="00B41E90"/>
    <w:rsid w:val="00B4528C"/>
    <w:rsid w:val="00B6084F"/>
    <w:rsid w:val="00B76BFB"/>
    <w:rsid w:val="00C1681F"/>
    <w:rsid w:val="00C55536"/>
    <w:rsid w:val="00C6200B"/>
    <w:rsid w:val="00C82630"/>
    <w:rsid w:val="00CA62F6"/>
    <w:rsid w:val="00CB5123"/>
    <w:rsid w:val="00CD35A7"/>
    <w:rsid w:val="00D30911"/>
    <w:rsid w:val="00D63BDB"/>
    <w:rsid w:val="00D6463B"/>
    <w:rsid w:val="00DD01D6"/>
    <w:rsid w:val="00DE4247"/>
    <w:rsid w:val="00DE799D"/>
    <w:rsid w:val="00DF1CF4"/>
    <w:rsid w:val="00E45C9B"/>
    <w:rsid w:val="00E56A65"/>
    <w:rsid w:val="00E909F9"/>
    <w:rsid w:val="00F2577D"/>
    <w:rsid w:val="00F301EC"/>
    <w:rsid w:val="00F42729"/>
    <w:rsid w:val="00F66E26"/>
    <w:rsid w:val="00F85B68"/>
    <w:rsid w:val="00F92D3C"/>
    <w:rsid w:val="00FA3770"/>
    <w:rsid w:val="00FB34A2"/>
    <w:rsid w:val="00FB4433"/>
    <w:rsid w:val="00FC2519"/>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7ECA-808E-479D-AD2A-2837FCCB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2013-10-26T13:09:00Z</cp:lastPrinted>
  <dcterms:created xsi:type="dcterms:W3CDTF">2013-10-28T12:31:00Z</dcterms:created>
  <dcterms:modified xsi:type="dcterms:W3CDTF">2013-10-29T15:02:00Z</dcterms:modified>
</cp:coreProperties>
</file>