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5D" w:rsidRDefault="003D0C5D" w:rsidP="003D0C5D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fldChar w:fldCharType="begin"/>
      </w:r>
      <w:r>
        <w:rPr>
          <w:rFonts w:ascii="Arial Black" w:hAnsi="Arial Black"/>
          <w:b/>
          <w:sz w:val="32"/>
          <w:szCs w:val="32"/>
        </w:rPr>
        <w:instrText xml:space="preserve"> MACROBUTTON MTEditEquationSection2 </w:instrText>
      </w:r>
      <w:r w:rsidRPr="003D0C5D">
        <w:rPr>
          <w:rStyle w:val="MTEquationSection"/>
        </w:rPr>
        <w:instrText>Equation Chapter 1 Section 1</w:instrText>
      </w:r>
      <w:r>
        <w:rPr>
          <w:rFonts w:ascii="Arial Black" w:hAnsi="Arial Black"/>
          <w:b/>
          <w:sz w:val="32"/>
          <w:szCs w:val="32"/>
        </w:rPr>
        <w:fldChar w:fldCharType="begin"/>
      </w:r>
      <w:r>
        <w:rPr>
          <w:rFonts w:ascii="Arial Black" w:hAnsi="Arial Black"/>
          <w:b/>
          <w:sz w:val="32"/>
          <w:szCs w:val="32"/>
        </w:rPr>
        <w:instrText xml:space="preserve"> SEQ MTEqn \r \h \* MERGEFORMAT </w:instrText>
      </w:r>
      <w:r>
        <w:rPr>
          <w:rFonts w:ascii="Arial Black" w:hAnsi="Arial Black"/>
          <w:b/>
          <w:sz w:val="32"/>
          <w:szCs w:val="32"/>
        </w:rPr>
        <w:fldChar w:fldCharType="end"/>
      </w:r>
      <w:r>
        <w:rPr>
          <w:rFonts w:ascii="Arial Black" w:hAnsi="Arial Black"/>
          <w:b/>
          <w:sz w:val="32"/>
          <w:szCs w:val="32"/>
        </w:rPr>
        <w:fldChar w:fldCharType="begin"/>
      </w:r>
      <w:r>
        <w:rPr>
          <w:rFonts w:ascii="Arial Black" w:hAnsi="Arial Black"/>
          <w:b/>
          <w:sz w:val="32"/>
          <w:szCs w:val="32"/>
        </w:rPr>
        <w:instrText xml:space="preserve"> SEQ MTSec \r 1 \h \* MERGEFORMAT </w:instrText>
      </w:r>
      <w:r>
        <w:rPr>
          <w:rFonts w:ascii="Arial Black" w:hAnsi="Arial Black"/>
          <w:b/>
          <w:sz w:val="32"/>
          <w:szCs w:val="32"/>
        </w:rPr>
        <w:fldChar w:fldCharType="end"/>
      </w:r>
      <w:r>
        <w:rPr>
          <w:rFonts w:ascii="Arial Black" w:hAnsi="Arial Black"/>
          <w:b/>
          <w:sz w:val="32"/>
          <w:szCs w:val="32"/>
        </w:rPr>
        <w:fldChar w:fldCharType="begin"/>
      </w:r>
      <w:r>
        <w:rPr>
          <w:rFonts w:ascii="Arial Black" w:hAnsi="Arial Black"/>
          <w:b/>
          <w:sz w:val="32"/>
          <w:szCs w:val="32"/>
        </w:rPr>
        <w:instrText xml:space="preserve"> SEQ MTChap \r 1 \h \* MERGEFORMAT </w:instrText>
      </w:r>
      <w:r>
        <w:rPr>
          <w:rFonts w:ascii="Arial Black" w:hAnsi="Arial Black"/>
          <w:b/>
          <w:sz w:val="32"/>
          <w:szCs w:val="32"/>
        </w:rPr>
        <w:fldChar w:fldCharType="end"/>
      </w:r>
      <w:r>
        <w:rPr>
          <w:rFonts w:ascii="Arial Black" w:hAnsi="Arial Black"/>
          <w:b/>
          <w:sz w:val="32"/>
          <w:szCs w:val="32"/>
        </w:rPr>
        <w:fldChar w:fldCharType="end"/>
      </w:r>
      <w:bookmarkStart w:id="0" w:name="_GoBack"/>
      <w:r w:rsidRPr="003D0C5D">
        <w:rPr>
          <w:rFonts w:ascii="Arial Black" w:hAnsi="Arial Black"/>
          <w:b/>
          <w:sz w:val="32"/>
          <w:szCs w:val="32"/>
        </w:rPr>
        <w:t>Estimates of Violation of Continuity of Current</w:t>
      </w:r>
      <w:bookmarkEnd w:id="0"/>
    </w:p>
    <w:p w:rsidR="0028547F" w:rsidRPr="0028547F" w:rsidRDefault="0028547F" w:rsidP="003D0C5D">
      <w:pPr>
        <w:jc w:val="center"/>
        <w:rPr>
          <w:rFonts w:ascii="Arial" w:hAnsi="Arial" w:cs="Arial"/>
          <w:szCs w:val="24"/>
        </w:rPr>
      </w:pPr>
      <w:r w:rsidRPr="0028547F">
        <w:rPr>
          <w:rFonts w:ascii="Arial" w:hAnsi="Arial" w:cs="Arial"/>
          <w:szCs w:val="24"/>
        </w:rPr>
        <w:t>Bob Eisenberg</w:t>
      </w:r>
    </w:p>
    <w:p w:rsidR="0028547F" w:rsidRPr="0028547F" w:rsidRDefault="0028547F" w:rsidP="003D0C5D">
      <w:pPr>
        <w:jc w:val="center"/>
        <w:rPr>
          <w:rFonts w:ascii="Arial" w:hAnsi="Arial" w:cs="Arial"/>
          <w:szCs w:val="24"/>
        </w:rPr>
      </w:pPr>
      <w:r w:rsidRPr="0028547F">
        <w:rPr>
          <w:rFonts w:ascii="Arial" w:hAnsi="Arial" w:cs="Arial"/>
          <w:szCs w:val="24"/>
        </w:rPr>
        <w:t>October 22, 2014</w:t>
      </w:r>
    </w:p>
    <w:p w:rsidR="003D0C5D" w:rsidRDefault="003D0C5D" w:rsidP="009B168D">
      <w:pPr>
        <w:ind w:firstLine="0"/>
      </w:pPr>
    </w:p>
    <w:p w:rsidR="0028547F" w:rsidRDefault="0028547F" w:rsidP="009B168D">
      <w:pPr>
        <w:ind w:firstLine="0"/>
      </w:pPr>
    </w:p>
    <w:p w:rsidR="003D0C5D" w:rsidRDefault="006D3C62" w:rsidP="006D3C62">
      <w:pPr>
        <w:pStyle w:val="MTDisplayEquation"/>
        <w:ind w:firstLine="0"/>
      </w:pPr>
      <w:r>
        <w:tab/>
      </w:r>
      <w:r w:rsidR="0028547F" w:rsidRPr="0028547F">
        <w:rPr>
          <w:position w:val="-38"/>
        </w:rPr>
        <w:object w:dxaOrig="314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56.8pt;height:44.15pt" o:ole="">
            <v:imagedata r:id="rId5" o:title=""/>
          </v:shape>
          <o:OLEObject Type="Embed" ProgID="Equation.DSMT4" ShapeID="_x0000_i1030" DrawAspect="Content" ObjectID="_1475472248" r:id="rId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1</w:instrText>
        </w:r>
      </w:fldSimple>
      <w:r>
        <w:instrText>)</w:instrText>
      </w:r>
      <w:r>
        <w:fldChar w:fldCharType="end"/>
      </w:r>
    </w:p>
    <w:p w:rsidR="003D0C5D" w:rsidRDefault="003D0C5D" w:rsidP="009B168D">
      <w:pPr>
        <w:ind w:firstLine="0"/>
      </w:pPr>
    </w:p>
    <w:p w:rsidR="006D3C62" w:rsidRDefault="006D3C62" w:rsidP="006D3C62">
      <w:pPr>
        <w:ind w:firstLine="0"/>
      </w:pPr>
      <w:r>
        <w:t>Rate equations equivalent to eq. (1) are</w:t>
      </w:r>
    </w:p>
    <w:p w:rsidR="006D3C62" w:rsidRDefault="006D3C62" w:rsidP="006D3C62">
      <w:pPr>
        <w:pStyle w:val="MTDisplayEquation"/>
        <w:ind w:firstLine="0"/>
      </w:pPr>
      <w:r>
        <w:tab/>
      </w:r>
      <w:r w:rsidRPr="006D3C62">
        <w:rPr>
          <w:position w:val="-36"/>
        </w:rPr>
        <w:object w:dxaOrig="3620" w:dyaOrig="859">
          <v:shape id="_x0000_i1027" type="#_x0000_t75" style="width:181.1pt;height:42.85pt" o:ole="">
            <v:imagedata r:id="rId7" o:title=""/>
          </v:shape>
          <o:OLEObject Type="Embed" ProgID="Equation.DSMT4" ShapeID="_x0000_i1027" DrawAspect="Content" ObjectID="_1475472249" r:id="rId8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2</w:instrText>
        </w:r>
      </w:fldSimple>
      <w:r>
        <w:instrText>)</w:instrText>
      </w:r>
      <w:r>
        <w:fldChar w:fldCharType="end"/>
      </w:r>
    </w:p>
    <w:p w:rsidR="003D0C5D" w:rsidRDefault="003D0C5D" w:rsidP="009B168D">
      <w:pPr>
        <w:ind w:firstLine="0"/>
      </w:pPr>
      <w:r w:rsidRPr="0028547F">
        <w:rPr>
          <w:b/>
        </w:rPr>
        <w:t>Ratio</w:t>
      </w:r>
      <w:r>
        <w:t xml:space="preserve"> of Currents </w:t>
      </w:r>
    </w:p>
    <w:p w:rsidR="006D3C62" w:rsidRDefault="006D3C62" w:rsidP="006D3C62">
      <w:pPr>
        <w:pStyle w:val="MTDisplayEquation"/>
        <w:ind w:firstLine="0"/>
      </w:pPr>
      <w:r>
        <w:tab/>
      </w:r>
      <w:r w:rsidRPr="006D3C62">
        <w:rPr>
          <w:position w:val="-32"/>
        </w:rPr>
        <w:object w:dxaOrig="3379" w:dyaOrig="800">
          <v:shape id="_x0000_i1028" type="#_x0000_t75" style="width:168.75pt;height:40.2pt" o:ole="">
            <v:imagedata r:id="rId9" o:title=""/>
          </v:shape>
          <o:OLEObject Type="Embed" ProgID="Equation.DSMT4" ShapeID="_x0000_i1028" DrawAspect="Content" ObjectID="_1475472250" r:id="rId1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3</w:instrText>
        </w:r>
      </w:fldSimple>
      <w:r>
        <w:instrText>)</w:instrText>
      </w:r>
      <w:r>
        <w:fldChar w:fldCharType="end"/>
      </w:r>
    </w:p>
    <w:p w:rsidR="003D0C5D" w:rsidRDefault="003D0C5D" w:rsidP="009B168D">
      <w:pPr>
        <w:ind w:firstLine="0"/>
      </w:pPr>
    </w:p>
    <w:p w:rsidR="003D0C5D" w:rsidRDefault="003D0C5D" w:rsidP="009B168D">
      <w:pPr>
        <w:ind w:firstLine="0"/>
      </w:pPr>
      <w:r>
        <w:t xml:space="preserve">Make all </w:t>
      </w:r>
      <w:r w:rsidRPr="006D3C62">
        <w:rPr>
          <w:b/>
        </w:rPr>
        <w:t>concentrations equal to one</w:t>
      </w:r>
      <w:r>
        <w:t>, to see what happens</w:t>
      </w:r>
    </w:p>
    <w:p w:rsidR="006D3C62" w:rsidRDefault="006D3C62" w:rsidP="006D3C62">
      <w:pPr>
        <w:pStyle w:val="MTDisplayEquation"/>
        <w:ind w:firstLine="0"/>
      </w:pPr>
      <w:r>
        <w:tab/>
      </w:r>
      <w:r w:rsidRPr="006D3C62">
        <w:rPr>
          <w:position w:val="-32"/>
        </w:rPr>
        <w:object w:dxaOrig="2600" w:dyaOrig="780">
          <v:shape id="_x0000_i1029" type="#_x0000_t75" style="width:129.85pt;height:38.85pt" o:ole="">
            <v:imagedata r:id="rId11" o:title=""/>
          </v:shape>
          <o:OLEObject Type="Embed" ProgID="Equation.DSMT4" ShapeID="_x0000_i1029" DrawAspect="Content" ObjectID="_1475472251" r:id="rId1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>
          <w:rPr>
            <w:noProof/>
          </w:rPr>
          <w:instrText>4</w:instrText>
        </w:r>
      </w:fldSimple>
      <w:r>
        <w:instrText>)</w:instrText>
      </w:r>
      <w:r>
        <w:fldChar w:fldCharType="end"/>
      </w:r>
    </w:p>
    <w:p w:rsidR="00D93A8A" w:rsidRDefault="00D93A8A" w:rsidP="009B168D">
      <w:pPr>
        <w:ind w:firstLine="0"/>
      </w:pPr>
    </w:p>
    <w:p w:rsidR="003D0C5D" w:rsidRDefault="003D0C5D" w:rsidP="006D3C62">
      <w:pPr>
        <w:ind w:firstLine="0"/>
      </w:pPr>
      <w:r>
        <w:t xml:space="preserve">Also, make all </w:t>
      </w:r>
      <w:r w:rsidRPr="006D3C62">
        <w:rPr>
          <w:b/>
        </w:rPr>
        <w:t>valences equal to one</w:t>
      </w:r>
      <w:r>
        <w:t xml:space="preserve">, </w:t>
      </w:r>
      <w:r w:rsidR="006D3C62">
        <w:t xml:space="preserve">and </w:t>
      </w:r>
      <w:r w:rsidR="006D3C62" w:rsidRPr="006D3C62">
        <w:rPr>
          <w:b/>
        </w:rPr>
        <w:t>concentrations equal to one</w:t>
      </w:r>
      <w:r w:rsidR="006D3C62">
        <w:t xml:space="preserve">, </w:t>
      </w:r>
      <w:r>
        <w:t>to see what happens</w:t>
      </w:r>
    </w:p>
    <w:p w:rsidR="003D0C5D" w:rsidRDefault="003D0C5D" w:rsidP="003D0C5D">
      <w:pPr>
        <w:pStyle w:val="MTDisplayEquation"/>
        <w:ind w:firstLine="0"/>
      </w:pPr>
      <w:r>
        <w:tab/>
      </w:r>
      <w:r w:rsidRPr="003D0C5D">
        <w:rPr>
          <w:position w:val="-32"/>
        </w:rPr>
        <w:object w:dxaOrig="1800" w:dyaOrig="780">
          <v:shape id="_x0000_i1025" type="#_x0000_t75" style="width:90.1pt;height:38.85pt" o:ole="">
            <v:imagedata r:id="rId13" o:title=""/>
          </v:shape>
          <o:OLEObject Type="Embed" ProgID="Equation.DSMT4" ShapeID="_x0000_i1025" DrawAspect="Content" ObjectID="_1475472252" r:id="rId14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6D3C62">
          <w:rPr>
            <w:noProof/>
          </w:rPr>
          <w:instrText>5</w:instrText>
        </w:r>
      </w:fldSimple>
      <w:r>
        <w:instrText>)</w:instrText>
      </w:r>
      <w:r>
        <w:fldChar w:fldCharType="end"/>
      </w:r>
    </w:p>
    <w:p w:rsidR="003D0C5D" w:rsidRDefault="003D0C5D" w:rsidP="009B168D">
      <w:pPr>
        <w:ind w:firstLine="0"/>
      </w:pPr>
    </w:p>
    <w:p w:rsidR="006D3C62" w:rsidRDefault="003D0C5D" w:rsidP="006D3C62">
      <w:pPr>
        <w:ind w:firstLine="0"/>
      </w:pPr>
      <w:r>
        <w:t xml:space="preserve">OR </w:t>
      </w:r>
    </w:p>
    <w:p w:rsidR="003D0C5D" w:rsidRDefault="003D0C5D" w:rsidP="006D3C62">
      <w:pPr>
        <w:ind w:firstLine="0"/>
      </w:pPr>
      <w:r>
        <w:t xml:space="preserve">make all </w:t>
      </w:r>
      <w:r w:rsidRPr="006D3C62">
        <w:rPr>
          <w:b/>
        </w:rPr>
        <w:t>rate constants equal to one</w:t>
      </w:r>
      <w:r>
        <w:t>,</w:t>
      </w:r>
      <w:r w:rsidR="006D3C62">
        <w:t xml:space="preserve"> and </w:t>
      </w:r>
      <w:r w:rsidR="006D3C62" w:rsidRPr="006D3C62">
        <w:rPr>
          <w:b/>
        </w:rPr>
        <w:t>concentrations equal to one</w:t>
      </w:r>
      <w:r w:rsidR="006D3C62">
        <w:t>, to see what happens</w:t>
      </w:r>
    </w:p>
    <w:p w:rsidR="003D0C5D" w:rsidRDefault="003D0C5D" w:rsidP="003D0C5D">
      <w:pPr>
        <w:pStyle w:val="MTDisplayEquation"/>
        <w:ind w:firstLine="0"/>
      </w:pPr>
      <w:r>
        <w:tab/>
      </w:r>
      <w:r w:rsidRPr="003D0C5D">
        <w:rPr>
          <w:position w:val="-28"/>
        </w:rPr>
        <w:object w:dxaOrig="1600" w:dyaOrig="700">
          <v:shape id="_x0000_i1026" type="#_x0000_t75" style="width:79.95pt;height:34.9pt" o:ole="">
            <v:imagedata r:id="rId15" o:title=""/>
          </v:shape>
          <o:OLEObject Type="Embed" ProgID="Equation.DSMT4" ShapeID="_x0000_i1026" DrawAspect="Content" ObjectID="_1475472253" r:id="rId16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6D3C62">
          <w:rPr>
            <w:noProof/>
          </w:rPr>
          <w:instrText>6</w:instrText>
        </w:r>
      </w:fldSimple>
      <w:r>
        <w:instrText>)</w:instrText>
      </w:r>
      <w:r>
        <w:fldChar w:fldCharType="end"/>
      </w:r>
    </w:p>
    <w:p w:rsidR="00D93A8A" w:rsidRDefault="00D93A8A" w:rsidP="009B168D">
      <w:pPr>
        <w:ind w:firstLine="0"/>
      </w:pPr>
    </w:p>
    <w:p w:rsidR="0028547F" w:rsidRDefault="0028547F" w:rsidP="009B168D">
      <w:pPr>
        <w:ind w:firstLine="0"/>
      </w:pPr>
      <w:r>
        <w:t>Huge violations of continuity of current if valence changes or rate constant differences are not equal.</w:t>
      </w:r>
    </w:p>
    <w:sectPr w:rsidR="00285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doNotDisplayPageBoundaries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8A"/>
    <w:rsid w:val="0016340E"/>
    <w:rsid w:val="0028547F"/>
    <w:rsid w:val="00291EA2"/>
    <w:rsid w:val="003D0C5D"/>
    <w:rsid w:val="005F2AA3"/>
    <w:rsid w:val="00694C52"/>
    <w:rsid w:val="006D3C62"/>
    <w:rsid w:val="00997B7F"/>
    <w:rsid w:val="009B168D"/>
    <w:rsid w:val="00AB2491"/>
    <w:rsid w:val="00D93A8A"/>
    <w:rsid w:val="00E3570D"/>
    <w:rsid w:val="00F8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3D0C5D"/>
    <w:rPr>
      <w:rFonts w:ascii="Arial Black" w:hAnsi="Arial Black"/>
      <w:b/>
      <w:vanish/>
      <w:color w:val="FF0000"/>
      <w:sz w:val="32"/>
      <w:szCs w:val="32"/>
    </w:rPr>
  </w:style>
  <w:style w:type="paragraph" w:customStyle="1" w:styleId="MTDisplayEquation">
    <w:name w:val="MTDisplayEquation"/>
    <w:basedOn w:val="Normal"/>
    <w:next w:val="Normal"/>
    <w:link w:val="MTDisplayEquationChar"/>
    <w:rsid w:val="003D0C5D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3D0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TEquationSection">
    <w:name w:val="MTEquationSection"/>
    <w:basedOn w:val="DefaultParagraphFont"/>
    <w:rsid w:val="003D0C5D"/>
    <w:rPr>
      <w:rFonts w:ascii="Arial Black" w:hAnsi="Arial Black"/>
      <w:b/>
      <w:vanish/>
      <w:color w:val="FF0000"/>
      <w:sz w:val="32"/>
      <w:szCs w:val="32"/>
    </w:rPr>
  </w:style>
  <w:style w:type="paragraph" w:customStyle="1" w:styleId="MTDisplayEquation">
    <w:name w:val="MTDisplayEquation"/>
    <w:basedOn w:val="Normal"/>
    <w:next w:val="Normal"/>
    <w:link w:val="MTDisplayEquationChar"/>
    <w:rsid w:val="003D0C5D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3D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Eisenberg</dc:creator>
  <cp:lastModifiedBy>Bob Eisenberg</cp:lastModifiedBy>
  <cp:revision>2</cp:revision>
  <dcterms:created xsi:type="dcterms:W3CDTF">2014-10-22T13:36:00Z</dcterms:created>
  <dcterms:modified xsi:type="dcterms:W3CDTF">2014-10-22T13:36:00Z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(#E1)</vt:lpwstr>
  </property>
</Properties>
</file>