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86" w:rsidRDefault="007C358C" w:rsidP="009B168D">
      <w:r>
        <w:fldChar w:fldCharType="begin"/>
      </w:r>
      <w:r>
        <w:instrText xml:space="preserve"> MACROBUTTON MTEditEquationSection2 </w:instrText>
      </w:r>
      <w:r w:rsidRPr="007C358C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</w:p>
    <w:p w:rsidR="00E15311" w:rsidRDefault="00E15311" w:rsidP="00BD3E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SUPPLEMENTARY MATERIAL </w:t>
      </w:r>
    </w:p>
    <w:p w:rsidR="00E15311" w:rsidRDefault="00E15311" w:rsidP="00BD3E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</w:t>
      </w:r>
    </w:p>
    <w:p w:rsidR="00E15311" w:rsidRDefault="00E15311" w:rsidP="00BD3E86">
      <w:pPr>
        <w:jc w:val="center"/>
        <w:rPr>
          <w:rFonts w:ascii="Arial" w:hAnsi="Arial" w:cs="Arial"/>
          <w:b/>
          <w:sz w:val="32"/>
          <w:szCs w:val="32"/>
        </w:rPr>
      </w:pPr>
    </w:p>
    <w:p w:rsidR="00E15311" w:rsidRDefault="00E15311" w:rsidP="00BD3E86">
      <w:pPr>
        <w:jc w:val="center"/>
        <w:rPr>
          <w:rFonts w:ascii="Arial" w:hAnsi="Arial" w:cs="Arial"/>
          <w:b/>
          <w:sz w:val="32"/>
          <w:szCs w:val="32"/>
        </w:rPr>
      </w:pPr>
    </w:p>
    <w:p w:rsidR="00702B08" w:rsidRDefault="00E15311" w:rsidP="00BD3E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</w:t>
      </w:r>
      <w:r w:rsidR="00702B08" w:rsidRPr="005D3316">
        <w:rPr>
          <w:rFonts w:ascii="Arial" w:hAnsi="Arial" w:cs="Arial"/>
          <w:b/>
          <w:sz w:val="32"/>
          <w:szCs w:val="32"/>
        </w:rPr>
        <w:t xml:space="preserve">There are </w:t>
      </w:r>
      <w:r w:rsidR="005D3316">
        <w:rPr>
          <w:rFonts w:ascii="Arial" w:hAnsi="Arial" w:cs="Arial"/>
          <w:b/>
          <w:sz w:val="32"/>
          <w:szCs w:val="32"/>
        </w:rPr>
        <w:t>L</w:t>
      </w:r>
      <w:r w:rsidR="00702B08" w:rsidRPr="005D3316">
        <w:rPr>
          <w:rFonts w:ascii="Arial" w:hAnsi="Arial" w:cs="Arial"/>
          <w:b/>
          <w:sz w:val="32"/>
          <w:szCs w:val="32"/>
        </w:rPr>
        <w:t xml:space="preserve">aws, ….. and </w:t>
      </w:r>
      <w:r w:rsidR="005D3316">
        <w:rPr>
          <w:rFonts w:ascii="Arial" w:hAnsi="Arial" w:cs="Arial"/>
          <w:b/>
          <w:sz w:val="32"/>
          <w:szCs w:val="32"/>
        </w:rPr>
        <w:t>T</w:t>
      </w:r>
      <w:r w:rsidR="00702B08" w:rsidRPr="005D3316">
        <w:rPr>
          <w:rFonts w:ascii="Arial" w:hAnsi="Arial" w:cs="Arial"/>
          <w:b/>
          <w:sz w:val="32"/>
          <w:szCs w:val="32"/>
        </w:rPr>
        <w:t xml:space="preserve">here are </w:t>
      </w:r>
      <w:r w:rsidR="005D3316">
        <w:rPr>
          <w:rFonts w:ascii="Arial" w:hAnsi="Arial" w:cs="Arial"/>
          <w:b/>
          <w:sz w:val="32"/>
          <w:szCs w:val="32"/>
        </w:rPr>
        <w:t>L</w:t>
      </w:r>
      <w:r w:rsidR="00702B08" w:rsidRPr="005D3316">
        <w:rPr>
          <w:rFonts w:ascii="Arial" w:hAnsi="Arial" w:cs="Arial"/>
          <w:b/>
          <w:sz w:val="32"/>
          <w:szCs w:val="32"/>
        </w:rPr>
        <w:t>aws</w:t>
      </w:r>
    </w:p>
    <w:p w:rsidR="00BD3E86" w:rsidRPr="005D3316" w:rsidRDefault="005D3316" w:rsidP="00BD3E8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5D3316">
        <w:rPr>
          <w:rFonts w:ascii="Arial" w:hAnsi="Arial" w:cs="Arial"/>
          <w:b/>
          <w:i/>
          <w:sz w:val="28"/>
          <w:szCs w:val="28"/>
        </w:rPr>
        <w:t>Law of Mass Action and Conservation of Charge</w:t>
      </w:r>
      <w:r w:rsidR="00E15311">
        <w:rPr>
          <w:rFonts w:ascii="Arial" w:hAnsi="Arial" w:cs="Arial"/>
          <w:b/>
          <w:i/>
          <w:sz w:val="28"/>
          <w:szCs w:val="28"/>
        </w:rPr>
        <w:t>”</w:t>
      </w:r>
    </w:p>
    <w:p w:rsidR="005D3316" w:rsidRDefault="005D3316" w:rsidP="00BD3E86">
      <w:pPr>
        <w:jc w:val="center"/>
        <w:rPr>
          <w:rFonts w:ascii="Arial" w:hAnsi="Arial" w:cs="Arial"/>
          <w:b/>
        </w:rPr>
      </w:pPr>
    </w:p>
    <w:p w:rsidR="005D3316" w:rsidRDefault="005D3316" w:rsidP="00BD3E86">
      <w:pPr>
        <w:jc w:val="center"/>
        <w:rPr>
          <w:rFonts w:ascii="Arial" w:hAnsi="Arial" w:cs="Arial"/>
          <w:b/>
        </w:rPr>
      </w:pPr>
    </w:p>
    <w:p w:rsidR="005D3316" w:rsidRDefault="005D3316" w:rsidP="00BD3E86">
      <w:pPr>
        <w:jc w:val="center"/>
        <w:rPr>
          <w:rFonts w:ascii="Arial" w:hAnsi="Arial" w:cs="Arial"/>
          <w:b/>
        </w:rPr>
      </w:pPr>
    </w:p>
    <w:p w:rsidR="005D3316" w:rsidRPr="005D3316" w:rsidRDefault="005D3316" w:rsidP="00BD3E86">
      <w:pPr>
        <w:jc w:val="center"/>
        <w:rPr>
          <w:rFonts w:ascii="Arial" w:hAnsi="Arial" w:cs="Arial"/>
          <w:b/>
        </w:rPr>
      </w:pPr>
    </w:p>
    <w:p w:rsidR="005D3316" w:rsidRPr="005D3316" w:rsidRDefault="005D3316" w:rsidP="00BD3E86">
      <w:pPr>
        <w:jc w:val="center"/>
        <w:rPr>
          <w:rFonts w:ascii="Arial" w:hAnsi="Arial" w:cs="Arial"/>
        </w:rPr>
      </w:pPr>
      <w:r w:rsidRPr="005D3316">
        <w:rPr>
          <w:rFonts w:ascii="Arial" w:hAnsi="Arial" w:cs="Arial"/>
        </w:rPr>
        <w:t>Bob Eisenberg</w:t>
      </w:r>
    </w:p>
    <w:p w:rsidR="005D3316" w:rsidRPr="005D3316" w:rsidRDefault="005D3316" w:rsidP="00BD3E86">
      <w:pPr>
        <w:jc w:val="center"/>
        <w:rPr>
          <w:rFonts w:ascii="Arial" w:hAnsi="Arial" w:cs="Arial"/>
        </w:rPr>
      </w:pPr>
      <w:r w:rsidRPr="005D3316">
        <w:rPr>
          <w:rFonts w:ascii="Arial" w:hAnsi="Arial" w:cs="Arial"/>
        </w:rPr>
        <w:t>Department of Molecular Biophysics and Physiology</w:t>
      </w:r>
    </w:p>
    <w:p w:rsidR="005D3316" w:rsidRPr="005D3316" w:rsidRDefault="005D3316" w:rsidP="00BD3E86">
      <w:pPr>
        <w:jc w:val="center"/>
        <w:rPr>
          <w:rFonts w:ascii="Arial" w:hAnsi="Arial" w:cs="Arial"/>
        </w:rPr>
      </w:pPr>
      <w:r w:rsidRPr="005D3316">
        <w:rPr>
          <w:rFonts w:ascii="Arial" w:hAnsi="Arial" w:cs="Arial"/>
        </w:rPr>
        <w:t>Rush University Medical Center</w:t>
      </w:r>
    </w:p>
    <w:p w:rsidR="005D3316" w:rsidRPr="005D3316" w:rsidRDefault="005D3316" w:rsidP="00BD3E86">
      <w:pPr>
        <w:jc w:val="center"/>
        <w:rPr>
          <w:rFonts w:ascii="Arial" w:hAnsi="Arial" w:cs="Arial"/>
        </w:rPr>
      </w:pPr>
      <w:r w:rsidRPr="005D3316">
        <w:rPr>
          <w:rFonts w:ascii="Arial" w:hAnsi="Arial" w:cs="Arial"/>
        </w:rPr>
        <w:t>Chicago IL 60612</w:t>
      </w:r>
    </w:p>
    <w:p w:rsidR="005D3316" w:rsidRPr="005D3316" w:rsidRDefault="005D3316" w:rsidP="00BD3E86">
      <w:pPr>
        <w:jc w:val="center"/>
        <w:rPr>
          <w:rFonts w:ascii="Arial" w:hAnsi="Arial" w:cs="Arial"/>
        </w:rPr>
      </w:pPr>
      <w:r w:rsidRPr="005D3316">
        <w:rPr>
          <w:rFonts w:ascii="Arial" w:hAnsi="Arial" w:cs="Arial"/>
        </w:rPr>
        <w:t>USA</w:t>
      </w:r>
    </w:p>
    <w:p w:rsidR="00BD3E86" w:rsidRPr="005D3316" w:rsidRDefault="00BD3E86" w:rsidP="009B168D">
      <w:pPr>
        <w:rPr>
          <w:rFonts w:ascii="Arial" w:hAnsi="Arial" w:cs="Arial"/>
        </w:rPr>
      </w:pPr>
    </w:p>
    <w:p w:rsidR="00BD3E86" w:rsidRPr="005D3316" w:rsidRDefault="005D3316" w:rsidP="005D3316">
      <w:pPr>
        <w:jc w:val="center"/>
        <w:rPr>
          <w:rFonts w:ascii="Arial" w:hAnsi="Arial" w:cs="Arial"/>
          <w:i/>
          <w:sz w:val="20"/>
          <w:szCs w:val="20"/>
        </w:rPr>
      </w:pPr>
      <w:r w:rsidRPr="005D3316">
        <w:rPr>
          <w:rFonts w:ascii="Arial" w:hAnsi="Arial" w:cs="Arial"/>
          <w:i/>
          <w:sz w:val="20"/>
          <w:szCs w:val="20"/>
        </w:rPr>
        <w:t>December 20, 2014</w:t>
      </w:r>
    </w:p>
    <w:p w:rsidR="00BD3E86" w:rsidRDefault="00BD3E86" w:rsidP="009B168D"/>
    <w:p w:rsidR="00BD3E86" w:rsidRDefault="00BD3E86" w:rsidP="009B168D"/>
    <w:p w:rsidR="00BD3E86" w:rsidRDefault="00BD3E86" w:rsidP="009B168D">
      <w:pPr>
        <w:sectPr w:rsidR="00BD3E86" w:rsidSect="007733C1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680C" w:rsidRDefault="00456FA6" w:rsidP="00456FA6">
      <w:pPr>
        <w:spacing w:after="240"/>
        <w:ind w:firstLine="0"/>
      </w:pPr>
      <w:r w:rsidRPr="00456FA6">
        <w:rPr>
          <w:b/>
          <w:u w:val="single"/>
        </w:rPr>
        <w:lastRenderedPageBreak/>
        <w:t>Size of discontinuity of current flow</w:t>
      </w:r>
      <w:r w:rsidRPr="00456FA6">
        <w:rPr>
          <w:b/>
        </w:rPr>
        <w:t>.</w:t>
      </w:r>
      <w:r>
        <w:t xml:space="preserve"> </w:t>
      </w:r>
      <w:r w:rsidR="0040680C">
        <w:t>The reader may hope that the amount of charge involved is too small to matter, but he/she can easily show that not to be the case</w:t>
      </w:r>
      <w:r w:rsidR="001F74A4">
        <w:t xml:space="preserve">. The difference in current shown in eq. </w:t>
      </w:r>
      <w:r w:rsidR="001F74A4">
        <w:fldChar w:fldCharType="begin"/>
      </w:r>
      <w:r w:rsidR="001F74A4">
        <w:instrText xml:space="preserve"> GOTOBUTTON ZEqnNum886007  \* MERGEFORMAT </w:instrText>
      </w:r>
      <w:r w:rsidR="001F74A4">
        <w:fldChar w:fldCharType="begin"/>
      </w:r>
      <w:r w:rsidR="001F74A4">
        <w:instrText xml:space="preserve"> REF ZEqnNum886007 \* Charformat \! \* MERGEFORMAT </w:instrText>
      </w:r>
      <w:r w:rsidR="001F74A4">
        <w:fldChar w:fldCharType="separate"/>
      </w:r>
      <w:r w:rsidR="00E15311">
        <w:instrText>(S-1)</w:instrText>
      </w:r>
      <w:r w:rsidR="001F74A4">
        <w:fldChar w:fldCharType="end"/>
      </w:r>
      <w:r w:rsidR="001F74A4">
        <w:fldChar w:fldCharType="end"/>
      </w:r>
      <w:r w:rsidR="001F74A4">
        <w:t xml:space="preserve"> is the </w:t>
      </w:r>
      <w:r w:rsidR="00191371">
        <w:t>discontinuity</w:t>
      </w:r>
      <w:r w:rsidR="001F74A4">
        <w:t xml:space="preserve"> of current, </w:t>
      </w:r>
      <w:r w:rsidR="00191371">
        <w:t>the violation of Kirchoff’s law of continuity of current flow.</w:t>
      </w:r>
    </w:p>
    <w:p w:rsidR="001F74A4" w:rsidRDefault="001F74A4" w:rsidP="00DC6974">
      <w:pPr>
        <w:pStyle w:val="MTDisplayEquation"/>
        <w:tabs>
          <w:tab w:val="right" w:pos="10800"/>
        </w:tabs>
        <w:ind w:firstLine="0"/>
      </w:pPr>
      <w:r>
        <w:tab/>
      </w:r>
      <w:r w:rsidRPr="001F74A4">
        <w:rPr>
          <w:position w:val="-22"/>
        </w:rPr>
        <w:object w:dxaOrig="64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1pt;height:32.1pt" o:ole="">
            <v:imagedata r:id="rId8" o:title=""/>
          </v:shape>
          <o:OLEObject Type="Embed" ProgID="Equation.DSMT4" ShapeID="_x0000_i1025" DrawAspect="Content" ObjectID="_1480586754" r:id="rId9"/>
        </w:object>
      </w:r>
      <w:r>
        <w:tab/>
      </w:r>
      <w:bookmarkStart w:id="0" w:name="_GoBack"/>
      <w:bookmarkEnd w:id="0"/>
      <w:r w:rsidR="00E15311">
        <w:fldChar w:fldCharType="begin"/>
      </w:r>
      <w:r w:rsidR="00E15311">
        <w:instrText xml:space="preserve"> MACROBUTTON MTPlaceRef \* MERGEFORMAT </w:instrText>
      </w:r>
      <w:r w:rsidR="00E15311">
        <w:fldChar w:fldCharType="begin"/>
      </w:r>
      <w:r w:rsidR="00E15311">
        <w:instrText xml:space="preserve"> SEQ MTEqn \h \* MERGEFORMAT </w:instrText>
      </w:r>
      <w:r w:rsidR="00E15311">
        <w:fldChar w:fldCharType="end"/>
      </w:r>
      <w:bookmarkStart w:id="1" w:name="ZEqnNum886007"/>
      <w:r w:rsidR="00E15311">
        <w:instrText>(S-</w:instrText>
      </w:r>
      <w:fldSimple w:instr=" SEQ MTEqn \c \* Arabic \* MERGEFORMAT ">
        <w:r w:rsidR="00E15311">
          <w:rPr>
            <w:noProof/>
          </w:rPr>
          <w:instrText>1</w:instrText>
        </w:r>
      </w:fldSimple>
      <w:r w:rsidR="00E15311">
        <w:instrText>)</w:instrText>
      </w:r>
      <w:bookmarkEnd w:id="1"/>
      <w:r w:rsidR="00E15311">
        <w:fldChar w:fldCharType="end"/>
      </w:r>
    </w:p>
    <w:p w:rsidR="0004584D" w:rsidRDefault="001F74A4" w:rsidP="00456FA6">
      <w:pPr>
        <w:keepNext/>
        <w:keepLines/>
        <w:spacing w:before="240"/>
        <w:ind w:firstLine="0"/>
      </w:pPr>
      <w:r>
        <w:t xml:space="preserve">We can estimate the significance of the error by considering reduced cases. </w:t>
      </w:r>
    </w:p>
    <w:p w:rsidR="001F74A4" w:rsidRDefault="001F74A4" w:rsidP="00456FA6">
      <w:pPr>
        <w:keepNext/>
        <w:keepLines/>
        <w:widowControl w:val="0"/>
        <w:tabs>
          <w:tab w:val="right" w:pos="9360"/>
        </w:tabs>
      </w:pPr>
      <w:r>
        <w:t xml:space="preserve">If all </w:t>
      </w:r>
      <w:r w:rsidRPr="006D3C62">
        <w:rPr>
          <w:b/>
        </w:rPr>
        <w:t>concentrations</w:t>
      </w:r>
      <w:r>
        <w:rPr>
          <w:b/>
        </w:rPr>
        <w:t xml:space="preserve"> are set</w:t>
      </w:r>
      <w:r w:rsidRPr="006D3C62">
        <w:rPr>
          <w:b/>
        </w:rPr>
        <w:t xml:space="preserve"> equal to one</w:t>
      </w:r>
      <w:r>
        <w:t xml:space="preserve">, </w:t>
      </w:r>
    </w:p>
    <w:p w:rsidR="001F74A4" w:rsidRDefault="001F74A4" w:rsidP="00DC6974">
      <w:pPr>
        <w:pStyle w:val="MTDisplayEquation"/>
        <w:tabs>
          <w:tab w:val="right" w:pos="10800"/>
        </w:tabs>
        <w:ind w:firstLine="0"/>
      </w:pPr>
      <w:r>
        <w:tab/>
      </w:r>
      <w:bookmarkStart w:id="2" w:name="_Hlk405011581"/>
      <w:r w:rsidR="00A7193D" w:rsidRPr="00C0088F">
        <w:rPr>
          <w:position w:val="-30"/>
        </w:rPr>
        <w:object w:dxaOrig="7100" w:dyaOrig="740">
          <v:shape id="_x0000_i1034" type="#_x0000_t75" style="width:354.9pt;height:36.9pt" o:ole="">
            <v:imagedata r:id="rId10" o:title=""/>
          </v:shape>
          <o:OLEObject Type="Embed" ProgID="Equation.DSMT4" ShapeID="_x0000_i1034" DrawAspect="Content" ObjectID="_1480586755" r:id="rId11"/>
        </w:object>
      </w:r>
      <w:bookmarkEnd w:id="2"/>
      <w:r>
        <w:t xml:space="preserve"> </w:t>
      </w:r>
      <w:r>
        <w:tab/>
      </w:r>
      <w:r w:rsidR="00E15311">
        <w:fldChar w:fldCharType="begin"/>
      </w:r>
      <w:r w:rsidR="00E15311">
        <w:instrText xml:space="preserve"> MACROBUTTON MTPlaceRef \* MERGEFORMAT </w:instrText>
      </w:r>
      <w:r w:rsidR="00E15311">
        <w:fldChar w:fldCharType="begin"/>
      </w:r>
      <w:r w:rsidR="00E15311">
        <w:instrText xml:space="preserve"> SEQ MTEqn \h \* MERGEFORMAT </w:instrText>
      </w:r>
      <w:r w:rsidR="00E15311">
        <w:fldChar w:fldCharType="end"/>
      </w:r>
      <w:r w:rsidR="00E15311">
        <w:instrText>(S-</w:instrText>
      </w:r>
      <w:fldSimple w:instr=" SEQ MTEqn \c \* Arabic \* MERGEFORMAT ">
        <w:r w:rsidR="00E15311">
          <w:rPr>
            <w:noProof/>
          </w:rPr>
          <w:instrText>2</w:instrText>
        </w:r>
      </w:fldSimple>
      <w:r w:rsidR="00E15311">
        <w:instrText>)</w:instrText>
      </w:r>
      <w:r w:rsidR="00E15311">
        <w:fldChar w:fldCharType="end"/>
      </w:r>
    </w:p>
    <w:p w:rsidR="001F74A4" w:rsidRDefault="001F74A4" w:rsidP="001F74A4">
      <w:pPr>
        <w:ind w:firstLine="0"/>
      </w:pPr>
    </w:p>
    <w:p w:rsidR="001F74A4" w:rsidRDefault="001F74A4" w:rsidP="00456FA6">
      <w:r>
        <w:t xml:space="preserve">If we also set all </w:t>
      </w:r>
      <w:r>
        <w:rPr>
          <w:b/>
        </w:rPr>
        <w:t>charge</w:t>
      </w:r>
      <w:r w:rsidRPr="006D3C62">
        <w:rPr>
          <w:b/>
        </w:rPr>
        <w:t>s equal to one</w:t>
      </w:r>
      <w:r>
        <w:t xml:space="preserve">, along with </w:t>
      </w:r>
      <w:r w:rsidRPr="006D3C62">
        <w:rPr>
          <w:b/>
        </w:rPr>
        <w:t>concentrations equal to one</w:t>
      </w:r>
      <w:r>
        <w:t xml:space="preserve">, </w:t>
      </w:r>
    </w:p>
    <w:p w:rsidR="001F74A4" w:rsidRDefault="001F74A4" w:rsidP="00DC6974">
      <w:pPr>
        <w:pStyle w:val="MTDisplayEquation"/>
        <w:tabs>
          <w:tab w:val="right" w:pos="10800"/>
        </w:tabs>
        <w:ind w:firstLine="0"/>
      </w:pPr>
      <w:r>
        <w:tab/>
      </w:r>
      <w:r w:rsidR="00425F69" w:rsidRPr="00C0088F">
        <w:rPr>
          <w:position w:val="-30"/>
        </w:rPr>
        <w:object w:dxaOrig="7040" w:dyaOrig="720">
          <v:shape id="_x0000_i1037" type="#_x0000_t75" style="width:351.9pt;height:36pt" o:ole="">
            <v:imagedata r:id="rId12" o:title=""/>
          </v:shape>
          <o:OLEObject Type="Embed" ProgID="Equation.DSMT4" ShapeID="_x0000_i1037" DrawAspect="Content" ObjectID="_1480586756" r:id="rId13"/>
        </w:object>
      </w:r>
      <w:r>
        <w:t xml:space="preserve"> </w:t>
      </w:r>
      <w:r>
        <w:tab/>
      </w:r>
      <w:r w:rsidR="00E15311">
        <w:fldChar w:fldCharType="begin"/>
      </w:r>
      <w:r w:rsidR="00E15311">
        <w:instrText xml:space="preserve"> MACROBUTTON MTPlaceRef \* MERGEFORMAT </w:instrText>
      </w:r>
      <w:r w:rsidR="00E15311">
        <w:fldChar w:fldCharType="begin"/>
      </w:r>
      <w:r w:rsidR="00E15311">
        <w:instrText xml:space="preserve"> SEQ MTEqn \h \* MERGEFORMAT </w:instrText>
      </w:r>
      <w:r w:rsidR="00E15311">
        <w:fldChar w:fldCharType="end"/>
      </w:r>
      <w:r w:rsidR="00E15311">
        <w:instrText>(S-</w:instrText>
      </w:r>
      <w:fldSimple w:instr=" SEQ MTEqn \c \* Arabic \* MERGEFORMAT ">
        <w:r w:rsidR="00E15311">
          <w:rPr>
            <w:noProof/>
          </w:rPr>
          <w:instrText>3</w:instrText>
        </w:r>
      </w:fldSimple>
      <w:r w:rsidR="00E15311">
        <w:instrText>)</w:instrText>
      </w:r>
      <w:r w:rsidR="00E15311">
        <w:fldChar w:fldCharType="end"/>
      </w:r>
    </w:p>
    <w:p w:rsidR="001F74A4" w:rsidRDefault="001F74A4" w:rsidP="001F74A4">
      <w:pPr>
        <w:ind w:firstLine="0"/>
        <w:jc w:val="both"/>
      </w:pPr>
      <w:r>
        <w:t xml:space="preserve">So in this special case, the difference in rate constants determines the imbalance of current, the violation of Kirchoff’s current law. </w:t>
      </w:r>
    </w:p>
    <w:p w:rsidR="001F74A4" w:rsidRDefault="001F74A4" w:rsidP="001F74A4">
      <w:pPr>
        <w:ind w:firstLine="0"/>
      </w:pPr>
      <w:r>
        <w:tab/>
        <w:t xml:space="preserve">Alternatively, we can set all </w:t>
      </w:r>
      <w:r w:rsidRPr="006D3C62">
        <w:rPr>
          <w:b/>
        </w:rPr>
        <w:t xml:space="preserve">rate constants </w:t>
      </w:r>
      <w:r>
        <w:t xml:space="preserve">and </w:t>
      </w:r>
      <w:r w:rsidR="00A7193D">
        <w:t xml:space="preserve">all </w:t>
      </w:r>
      <w:r w:rsidRPr="006D3C62">
        <w:rPr>
          <w:b/>
        </w:rPr>
        <w:t>concentrations equal to one</w:t>
      </w:r>
      <w:r>
        <w:t xml:space="preserve">, </w:t>
      </w:r>
    </w:p>
    <w:p w:rsidR="001F74A4" w:rsidRDefault="001F74A4" w:rsidP="00DC6974">
      <w:pPr>
        <w:pStyle w:val="MTDisplayEquation"/>
        <w:tabs>
          <w:tab w:val="right" w:pos="10800"/>
        </w:tabs>
        <w:ind w:firstLine="0"/>
      </w:pPr>
      <w:r>
        <w:tab/>
      </w:r>
      <w:r w:rsidR="00456FA6" w:rsidRPr="00C0088F">
        <w:rPr>
          <w:position w:val="-30"/>
        </w:rPr>
        <w:object w:dxaOrig="7060" w:dyaOrig="720">
          <v:shape id="_x0000_i1036" type="#_x0000_t75" style="width:353.1pt;height:36pt" o:ole="">
            <v:imagedata r:id="rId14" o:title=""/>
          </v:shape>
          <o:OLEObject Type="Embed" ProgID="Equation.DSMT4" ShapeID="_x0000_i1036" DrawAspect="Content" ObjectID="_1480586757" r:id="rId15"/>
        </w:object>
      </w:r>
      <w:r>
        <w:tab/>
      </w:r>
      <w:r w:rsidR="00E15311">
        <w:fldChar w:fldCharType="begin"/>
      </w:r>
      <w:r w:rsidR="00E15311">
        <w:instrText xml:space="preserve"> MACROBUTTON MTPlaceRef \* MERGEFORMAT </w:instrText>
      </w:r>
      <w:r w:rsidR="00E15311">
        <w:fldChar w:fldCharType="begin"/>
      </w:r>
      <w:r w:rsidR="00E15311">
        <w:instrText xml:space="preserve"> SEQ MTEqn \h \* MERGEFORMAT </w:instrText>
      </w:r>
      <w:r w:rsidR="00E15311">
        <w:fldChar w:fldCharType="end"/>
      </w:r>
      <w:r w:rsidR="00E15311">
        <w:instrText>(S-</w:instrText>
      </w:r>
      <w:fldSimple w:instr=" SEQ MTEqn \c \* Arabic \* MERGEFORMAT ">
        <w:r w:rsidR="00E15311">
          <w:rPr>
            <w:noProof/>
          </w:rPr>
          <w:instrText>4</w:instrText>
        </w:r>
      </w:fldSimple>
      <w:r w:rsidR="00E15311">
        <w:instrText>)</w:instrText>
      </w:r>
      <w:r w:rsidR="00E15311">
        <w:fldChar w:fldCharType="end"/>
      </w:r>
    </w:p>
    <w:p w:rsidR="001F74A4" w:rsidRDefault="00A7193D" w:rsidP="00A7193D">
      <w:pPr>
        <w:spacing w:before="240" w:after="240"/>
        <w:ind w:firstLine="0"/>
        <w:jc w:val="both"/>
      </w:pPr>
      <w:r w:rsidRPr="00A7193D">
        <w:rPr>
          <w:b/>
          <w:u w:val="single"/>
        </w:rPr>
        <w:t>A</w:t>
      </w:r>
      <w:r w:rsidR="00201C55" w:rsidRPr="00A7193D">
        <w:rPr>
          <w:b/>
          <w:u w:val="single"/>
        </w:rPr>
        <w:t xml:space="preserve">symmetry of parameters produces </w:t>
      </w:r>
      <w:r>
        <w:rPr>
          <w:b/>
          <w:u w:val="single"/>
        </w:rPr>
        <w:t>dis</w:t>
      </w:r>
      <w:r w:rsidR="00201C55" w:rsidRPr="00A7193D">
        <w:rPr>
          <w:b/>
          <w:u w:val="single"/>
        </w:rPr>
        <w:t>continuity of current</w:t>
      </w:r>
      <w:r w:rsidR="00201C55">
        <w:t xml:space="preserve">, and thus </w:t>
      </w:r>
      <w:r>
        <w:t xml:space="preserve">violates </w:t>
      </w:r>
      <w:r w:rsidR="00201C55">
        <w:t>conservation of charge</w:t>
      </w:r>
      <w:r w:rsidR="001F74A4">
        <w:t xml:space="preserve">. If charges flow for one second, the charge imbalance is of the order of </w:t>
      </w:r>
      <w:r w:rsidR="001F74A4" w:rsidRPr="00AC3F82">
        <w:rPr>
          <w:position w:val="-12"/>
        </w:rPr>
        <w:object w:dxaOrig="3800" w:dyaOrig="400">
          <v:shape id="_x0000_i1026" type="#_x0000_t75" style="width:189.9pt;height:20.1pt" o:ole="">
            <v:imagedata r:id="rId16" o:title=""/>
          </v:shape>
          <o:OLEObject Type="Embed" ProgID="Equation.DSMT4" ShapeID="_x0000_i1026" DrawAspect="Content" ObjectID="_1480586758" r:id="rId17"/>
        </w:object>
      </w:r>
      <w:r w:rsidR="001F74A4">
        <w:t xml:space="preserve">, </w:t>
      </w:r>
      <w:r w:rsidR="001F74A4" w:rsidRPr="00AC3F82">
        <w:rPr>
          <w:b/>
        </w:rPr>
        <w:t>a huge amount of charge, about 1 coulomb!</w:t>
      </w:r>
      <w:r w:rsidR="001F74A4">
        <w:t xml:space="preserve"> </w:t>
      </w:r>
    </w:p>
    <w:p w:rsidR="00201C55" w:rsidRDefault="001F74A4" w:rsidP="001F74A4">
      <w:pPr>
        <w:jc w:val="both"/>
      </w:pPr>
      <w:r>
        <w:t xml:space="preserve">To estimate the effect on electrical potential </w:t>
      </w:r>
      <w:r>
        <w:rPr>
          <w:i/>
        </w:rPr>
        <w:t xml:space="preserve">V, </w:t>
      </w:r>
      <w:r>
        <w:t xml:space="preserve">we need to know the size of the system. Imagine a spherical capacitor of radius </w:t>
      </w:r>
      <w:r>
        <w:rPr>
          <w:i/>
        </w:rPr>
        <w:t xml:space="preserve">R. </w:t>
      </w:r>
      <w:r>
        <w:t xml:space="preserve">Its capacitance is </w:t>
      </w:r>
      <w:r w:rsidRPr="002C7076">
        <w:rPr>
          <w:position w:val="-12"/>
        </w:rPr>
        <w:object w:dxaOrig="2120" w:dyaOrig="360">
          <v:shape id="_x0000_i1027" type="#_x0000_t75" style="width:105.9pt;height:18pt" o:ole="">
            <v:imagedata r:id="rId18" o:title=""/>
          </v:shape>
          <o:OLEObject Type="Embed" ProgID="Equation.DSMT4" ShapeID="_x0000_i1027" DrawAspect="Content" ObjectID="_1480586759" r:id="rId19"/>
        </w:object>
      </w:r>
      <w:r>
        <w:t xml:space="preserve"> or numerically  </w:t>
      </w:r>
      <w:r w:rsidRPr="000413E1">
        <w:rPr>
          <w:position w:val="-14"/>
        </w:rPr>
        <w:object w:dxaOrig="5040" w:dyaOrig="420">
          <v:shape id="_x0000_i1028" type="#_x0000_t75" style="width:252pt;height:21pt" o:ole="">
            <v:imagedata r:id="rId20" o:title=""/>
          </v:shape>
          <o:OLEObject Type="Embed" ProgID="Equation.DSMT4" ShapeID="_x0000_i1028" DrawAspect="Content" ObjectID="_1480586760" r:id="rId21"/>
        </w:object>
      </w:r>
      <w:r>
        <w:t xml:space="preserve"> where </w:t>
      </w:r>
      <w:r w:rsidRPr="002C7076">
        <w:rPr>
          <w:position w:val="-8"/>
        </w:rPr>
        <w:object w:dxaOrig="279" w:dyaOrig="320">
          <v:shape id="_x0000_i1029" type="#_x0000_t75" style="width:14.1pt;height:15.9pt" o:ole="">
            <v:imagedata r:id="rId22" o:title=""/>
          </v:shape>
          <o:OLEObject Type="Embed" ProgID="Equation.DSMT4" ShapeID="_x0000_i1029" DrawAspect="Content" ObjectID="_1480586761" r:id="rId23"/>
        </w:object>
      </w:r>
      <w:r>
        <w:t xml:space="preserve"> is the relative dielectric coefficient, about 80 in water solutions at longish times (say &gt; 10</w:t>
      </w:r>
      <w:r>
        <w:rPr>
          <w:vertAlign w:val="superscript"/>
        </w:rPr>
        <w:t xml:space="preserve">-5 </w:t>
      </w:r>
      <w:r>
        <w:t xml:space="preserve">sec). One coulomb of charge produces a voltage in this spherical capacitor of </w:t>
      </w:r>
      <w:r w:rsidRPr="002C7076">
        <w:rPr>
          <w:position w:val="-18"/>
        </w:rPr>
        <w:object w:dxaOrig="6720" w:dyaOrig="480">
          <v:shape id="_x0000_i1030" type="#_x0000_t75" style="width:336pt;height:24pt" o:ole="">
            <v:imagedata r:id="rId24" o:title=""/>
          </v:shape>
          <o:OLEObject Type="Embed" ProgID="Equation.DSMT4" ShapeID="_x0000_i1030" DrawAspect="Content" ObjectID="_1480586762" r:id="rId25"/>
        </w:object>
      </w:r>
      <w:r>
        <w:t xml:space="preserve"> in volts, i.e., a 1 nm capacitor of </w:t>
      </w:r>
      <w:r w:rsidRPr="002C7076">
        <w:rPr>
          <w:position w:val="-6"/>
        </w:rPr>
        <w:object w:dxaOrig="1740" w:dyaOrig="340">
          <v:shape id="_x0000_i1031" type="#_x0000_t75" style="width:87pt;height:17.1pt" o:ole="">
            <v:imagedata r:id="rId26" o:title=""/>
          </v:shape>
          <o:OLEObject Type="Embed" ProgID="Equation.DSMT4" ShapeID="_x0000_i1031" DrawAspect="Content" ObjectID="_1480586763" r:id="rId27"/>
        </w:object>
      </w:r>
      <w:r>
        <w:t xml:space="preserve"> produces nearly </w:t>
      </w:r>
      <w:bookmarkStart w:id="3" w:name="_Hlk405022330"/>
      <w:r w:rsidRPr="002C7076">
        <w:rPr>
          <w:position w:val="-12"/>
        </w:rPr>
        <w:object w:dxaOrig="800" w:dyaOrig="400">
          <v:shape id="_x0000_i1032" type="#_x0000_t75" style="width:39.9pt;height:20.1pt" o:ole="">
            <v:imagedata r:id="rId28" o:title=""/>
          </v:shape>
          <o:OLEObject Type="Embed" ProgID="Equation.DSMT4" ShapeID="_x0000_i1032" DrawAspect="Content" ObjectID="_1480586764" r:id="rId29"/>
        </w:object>
      </w:r>
      <w:bookmarkEnd w:id="3"/>
      <w:r>
        <w:t xml:space="preserve"> volts, </w:t>
      </w:r>
      <w:r w:rsidR="00201C55">
        <w:t>i.e., about 10</w:t>
      </w:r>
      <w:r w:rsidR="00201C55">
        <w:rPr>
          <w:vertAlign w:val="superscript"/>
        </w:rPr>
        <w:t>17</w:t>
      </w:r>
      <w:r w:rsidR="00201C55">
        <w:t xml:space="preserve"> volts for a dielectric coefficient of 100. A</w:t>
      </w:r>
      <w:r>
        <w:t xml:space="preserve"> capacitor of 1 meter radius with </w:t>
      </w:r>
      <w:r w:rsidR="00A26801" w:rsidRPr="00201C55">
        <w:rPr>
          <w:position w:val="-8"/>
        </w:rPr>
        <w:object w:dxaOrig="920" w:dyaOrig="320">
          <v:shape id="_x0000_i1035" type="#_x0000_t75" style="width:45.9pt;height:15.9pt" o:ole="">
            <v:imagedata r:id="rId30" o:title=""/>
          </v:shape>
          <o:OLEObject Type="Embed" ProgID="Equation.DSMT4" ShapeID="_x0000_i1035" DrawAspect="Content" ObjectID="_1480586765" r:id="rId31"/>
        </w:object>
      </w:r>
      <w:r w:rsidR="00A26801">
        <w:t>—</w:t>
      </w:r>
      <w:r>
        <w:t>capacitance 111</w:t>
      </w:r>
      <w:r w:rsidR="00A26801">
        <w:t> </w:t>
      </w:r>
      <w:r>
        <w:t>picofarads—produces nearly 10</w:t>
      </w:r>
      <w:r>
        <w:rPr>
          <w:vertAlign w:val="superscript"/>
        </w:rPr>
        <w:t>10</w:t>
      </w:r>
      <w:r>
        <w:t xml:space="preserve"> volts. </w:t>
      </w:r>
    </w:p>
    <w:p w:rsidR="00191371" w:rsidRDefault="001F74A4" w:rsidP="001F74A4">
      <w:pPr>
        <w:jc w:val="both"/>
      </w:pPr>
      <w:r>
        <w:t>Of course, these calculations are for current that flows a long period of time (1 second). If current flowed</w:t>
      </w:r>
      <w:r w:rsidR="00A26801">
        <w:t xml:space="preserve"> on a biological time scale,</w:t>
      </w:r>
      <w:r>
        <w:t xml:space="preserve"> for 1 </w:t>
      </w:r>
      <w:r w:rsidR="00201C55">
        <w:t>m</w:t>
      </w:r>
      <w:r>
        <w:t xml:space="preserve">sec in a structure 1 nm in radius, the electrical </w:t>
      </w:r>
      <w:r>
        <w:lastRenderedPageBreak/>
        <w:t xml:space="preserve">potential would be much less, ‘only’ </w:t>
      </w:r>
      <w:r w:rsidR="00201C55" w:rsidRPr="002C7076">
        <w:rPr>
          <w:position w:val="-12"/>
        </w:rPr>
        <w:object w:dxaOrig="800" w:dyaOrig="400">
          <v:shape id="_x0000_i1033" type="#_x0000_t75" style="width:39.9pt;height:20.1pt" o:ole="">
            <v:imagedata r:id="rId32" o:title=""/>
          </v:shape>
          <o:OLEObject Type="Embed" ProgID="Equation.DSMT4" ShapeID="_x0000_i1033" DrawAspect="Content" ObjectID="_1480586766" r:id="rId33"/>
        </w:object>
      </w:r>
      <w:r>
        <w:t xml:space="preserve"> volts. </w:t>
      </w:r>
      <w:r w:rsidR="00191371">
        <w:t>Potentials of this size are destructive and incompatible with life or even laboratory experiments.</w:t>
      </w:r>
    </w:p>
    <w:p w:rsidR="001F74A4" w:rsidRDefault="00191371" w:rsidP="001F74A4">
      <w:pPr>
        <w:jc w:val="both"/>
      </w:pPr>
      <w:r>
        <w:t xml:space="preserve">Molecules and even systems of molecular biology are often some 1-5 nanometer </w:t>
      </w:r>
      <w:r w:rsidR="00A26801">
        <w:t xml:space="preserve">size so small voltages— e.g., </w:t>
      </w:r>
      <w:r w:rsidRPr="008446AA">
        <w:rPr>
          <w:b/>
        </w:rPr>
        <w:t>0.2 volts</w:t>
      </w:r>
      <w:r w:rsidR="00A26801">
        <w:rPr>
          <w:b/>
        </w:rPr>
        <w:t>—</w:t>
      </w:r>
      <w:r w:rsidRPr="008446AA">
        <w:rPr>
          <w:b/>
        </w:rPr>
        <w:t>destroy membranes and membrane proteins</w:t>
      </w:r>
      <w:r>
        <w:t xml:space="preserve">. Membranes breakdown when electrical potentials are 10 million to a billion times smaller than those just calculated. </w:t>
      </w:r>
      <w:r w:rsidR="001F74A4">
        <w:t xml:space="preserve">Potentials of this size </w:t>
      </w:r>
      <w:r>
        <w:t xml:space="preserve">in fact </w:t>
      </w:r>
      <w:r w:rsidR="001F74A4">
        <w:t>destroy molecules</w:t>
      </w:r>
      <w:r w:rsidR="00A26801">
        <w:t xml:space="preserve"> in general, not just membranes, </w:t>
      </w:r>
      <w:r w:rsidR="001F74A4">
        <w:t>ionizing them into their constituent atoms</w:t>
      </w:r>
      <w:r>
        <w:t>. E</w:t>
      </w:r>
      <w:r w:rsidR="001F74A4">
        <w:t xml:space="preserve">ven atoms </w:t>
      </w:r>
      <w:r>
        <w:t xml:space="preserve">are destroyed at these potentials, </w:t>
      </w:r>
      <w:r w:rsidR="001F74A4">
        <w:t xml:space="preserve">ionizing into plasmas of electrons and nuclei. </w:t>
      </w:r>
    </w:p>
    <w:p w:rsidR="001F74A4" w:rsidRPr="007B3FAF" w:rsidRDefault="00191371" w:rsidP="001F74A4">
      <w:pPr>
        <w:jc w:val="both"/>
      </w:pPr>
      <w:r>
        <w:t xml:space="preserve">There may be special conditions in which the discontinuity of current flow of eq. </w:t>
      </w:r>
      <w:r>
        <w:fldChar w:fldCharType="begin"/>
      </w:r>
      <w:r>
        <w:instrText xml:space="preserve"> GOTOBUTTON ZEqnNum886007  \* MERGEFORMAT </w:instrText>
      </w:r>
      <w:r>
        <w:fldChar w:fldCharType="begin"/>
      </w:r>
      <w:r>
        <w:instrText xml:space="preserve"> REF ZEqnNum886007 \* Charformat \! \* MERGEFORMAT </w:instrText>
      </w:r>
      <w:r>
        <w:fldChar w:fldCharType="separate"/>
      </w:r>
      <w:r w:rsidR="00E15311">
        <w:instrText>(S-1)</w:instrText>
      </w:r>
      <w:r>
        <w:fldChar w:fldCharType="end"/>
      </w:r>
      <w:r>
        <w:fldChar w:fldCharType="end"/>
      </w:r>
      <w:r w:rsidR="00A26801">
        <w:t xml:space="preserve"> may not be important, but in general </w:t>
      </w:r>
      <w:r w:rsidR="00A26801" w:rsidRPr="00A26801">
        <w:rPr>
          <w:b/>
        </w:rPr>
        <w:t>the failure of the law of mass action to conserve charge is likely to have noticeable effects.</w:t>
      </w:r>
      <w:r w:rsidR="00A26801">
        <w:t xml:space="preserve">  </w:t>
      </w:r>
    </w:p>
    <w:p w:rsidR="001F74A4" w:rsidRDefault="00E24B0C" w:rsidP="008C4812">
      <w:pPr>
        <w:ind w:firstLine="0"/>
      </w:pPr>
      <w:r>
        <w:tab/>
      </w:r>
    </w:p>
    <w:p w:rsidR="001F74A4" w:rsidRDefault="001F74A4" w:rsidP="008C4812">
      <w:pPr>
        <w:ind w:firstLine="0"/>
      </w:pPr>
    </w:p>
    <w:p w:rsidR="001F74A4" w:rsidRDefault="001F74A4" w:rsidP="008C4812">
      <w:pPr>
        <w:ind w:firstLine="0"/>
      </w:pPr>
    </w:p>
    <w:p w:rsidR="001F74A4" w:rsidRDefault="001F74A4" w:rsidP="008C4812">
      <w:pPr>
        <w:ind w:firstLine="0"/>
        <w:sectPr w:rsidR="001F74A4" w:rsidSect="007733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584D" w:rsidRDefault="0004584D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886B20" w:rsidRDefault="00886B20" w:rsidP="008C4812">
      <w:pPr>
        <w:ind w:firstLine="0"/>
      </w:pPr>
    </w:p>
    <w:p w:rsidR="0004584D" w:rsidRDefault="0004584D" w:rsidP="008C4812">
      <w:pPr>
        <w:ind w:firstLine="0"/>
      </w:pPr>
    </w:p>
    <w:p w:rsidR="0004584D" w:rsidRDefault="0004584D" w:rsidP="008C4812">
      <w:pPr>
        <w:ind w:firstLine="0"/>
      </w:pPr>
    </w:p>
    <w:p w:rsidR="0004584D" w:rsidRDefault="0004584D" w:rsidP="008C4812">
      <w:pPr>
        <w:ind w:firstLine="0"/>
        <w:sectPr w:rsidR="0004584D" w:rsidSect="007733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2F94" w:rsidRDefault="0004584D" w:rsidP="008C4812">
      <w:pPr>
        <w:ind w:firstLine="0"/>
      </w:pPr>
      <w:r>
        <w:lastRenderedPageBreak/>
        <w:t xml:space="preserve">NOTES: practical consequences, in models involving multiple pathways of current, flowing in parallel across a membrane limited cell or organelle, Kirchoff’s current law will </w:t>
      </w:r>
      <w:r>
        <w:rPr>
          <w:b/>
        </w:rPr>
        <w:t xml:space="preserve">itself INDEPENDENT OF MECHANISTIC DETAILS </w:t>
      </w:r>
      <w:r w:rsidRPr="0004584D">
        <w:t>force correlations of fluxes tha</w:t>
      </w:r>
      <w:r>
        <w:t>t have been used to characterize transporters for many years (Hodgkin, 1951).</w:t>
      </w:r>
    </w:p>
    <w:p w:rsidR="00CD2F94" w:rsidRDefault="00CD2F94" w:rsidP="008C4812">
      <w:pPr>
        <w:ind w:firstLine="0"/>
      </w:pPr>
    </w:p>
    <w:p w:rsidR="00CD2F94" w:rsidRPr="00CD2F94" w:rsidRDefault="00CD2F94" w:rsidP="00CD2F94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CD2F94">
        <w:t>1.</w:t>
      </w:r>
      <w:r w:rsidRPr="00CD2F94">
        <w:tab/>
        <w:t>Jaffe, R.L., The Casimir Effect and the Quantum Vacuum</w:t>
      </w:r>
      <w:r w:rsidRPr="00CD2F94">
        <w:rPr>
          <w:i/>
        </w:rPr>
        <w:t>.</w:t>
      </w:r>
      <w:r w:rsidRPr="00CD2F94">
        <w:t xml:space="preserve"> Available on </w:t>
      </w:r>
      <w:hyperlink r:id="rId34" w:history="1">
        <w:r w:rsidRPr="00CD2F94">
          <w:rPr>
            <w:rStyle w:val="Hyperlink"/>
          </w:rPr>
          <w:t>http://arxiv.org/</w:t>
        </w:r>
      </w:hyperlink>
      <w:r w:rsidRPr="00CD2F94">
        <w:t xml:space="preserve">  as </w:t>
      </w:r>
      <w:hyperlink r:id="rId35" w:history="1">
        <w:r w:rsidRPr="00CD2F94">
          <w:rPr>
            <w:rStyle w:val="Hyperlink"/>
          </w:rPr>
          <w:t>http://arxiv.org/abs/hep-th/0503158</w:t>
        </w:r>
      </w:hyperlink>
      <w:r w:rsidRPr="00CD2F94">
        <w:t>, 2005.</w:t>
      </w:r>
    </w:p>
    <w:p w:rsidR="00CD2F94" w:rsidRPr="00CD2F94" w:rsidRDefault="00CD2F94" w:rsidP="00CD2F94">
      <w:pPr>
        <w:pStyle w:val="EndNoteBibliography"/>
        <w:spacing w:after="0"/>
        <w:ind w:left="720" w:hanging="720"/>
      </w:pPr>
      <w:r w:rsidRPr="00CD2F94">
        <w:t>2.</w:t>
      </w:r>
      <w:r w:rsidRPr="00CD2F94">
        <w:tab/>
        <w:t xml:space="preserve">Joffe, E.B. and K.-S. Lock, </w:t>
      </w:r>
      <w:r w:rsidRPr="00CD2F94">
        <w:rPr>
          <w:i/>
        </w:rPr>
        <w:t>Grounds for Grounding</w:t>
      </w:r>
      <w:r w:rsidRPr="00CD2F94">
        <w:t>. 2010, NY: Wiley-IEEE Press. 1088.</w:t>
      </w:r>
    </w:p>
    <w:p w:rsidR="00CD2F94" w:rsidRPr="00CD2F94" w:rsidRDefault="00CD2F94" w:rsidP="00CD2F94">
      <w:pPr>
        <w:pStyle w:val="EndNoteBibliography"/>
        <w:spacing w:after="0"/>
        <w:ind w:left="720" w:hanging="720"/>
      </w:pPr>
      <w:r w:rsidRPr="00CD2F94">
        <w:t>3.</w:t>
      </w:r>
      <w:r w:rsidRPr="00CD2F94">
        <w:tab/>
        <w:t>Reynaud, S. and A. Lambrecht, Casimir forces</w:t>
      </w:r>
      <w:r w:rsidRPr="00CD2F94">
        <w:rPr>
          <w:i/>
        </w:rPr>
        <w:t>.</w:t>
      </w:r>
      <w:r w:rsidRPr="00CD2F94">
        <w:t xml:space="preserve"> 2014. </w:t>
      </w:r>
      <w:r w:rsidRPr="00CD2F94">
        <w:rPr>
          <w:b/>
        </w:rPr>
        <w:t xml:space="preserve">available on </w:t>
      </w:r>
      <w:hyperlink r:id="rId36" w:history="1">
        <w:r w:rsidRPr="00CD2F94">
          <w:rPr>
            <w:rStyle w:val="Hyperlink"/>
            <w:b/>
          </w:rPr>
          <w:t>http://arxiv.org/</w:t>
        </w:r>
      </w:hyperlink>
      <w:r w:rsidRPr="00CD2F94">
        <w:rPr>
          <w:b/>
        </w:rPr>
        <w:t xml:space="preserve"> as </w:t>
      </w:r>
      <w:hyperlink r:id="rId37" w:history="1">
        <w:r w:rsidRPr="00CD2F94">
          <w:rPr>
            <w:rStyle w:val="Hyperlink"/>
            <w:b/>
          </w:rPr>
          <w:t>http://arxiv.org/abs/1410.2746</w:t>
        </w:r>
      </w:hyperlink>
      <w:r w:rsidRPr="00CD2F94">
        <w:t>.</w:t>
      </w:r>
    </w:p>
    <w:p w:rsidR="00CD2F94" w:rsidRPr="00CD2F94" w:rsidRDefault="00CD2F94" w:rsidP="00CD2F94">
      <w:pPr>
        <w:pStyle w:val="EndNoteBibliography"/>
        <w:ind w:left="720" w:hanging="720"/>
      </w:pPr>
      <w:r w:rsidRPr="00CD2F94">
        <w:t>4.</w:t>
      </w:r>
      <w:r w:rsidRPr="00CD2F94">
        <w:tab/>
        <w:t xml:space="preserve">Zangwill, A., </w:t>
      </w:r>
      <w:r w:rsidRPr="00CD2F94">
        <w:rPr>
          <w:i/>
        </w:rPr>
        <w:t>Modern Electrodynamics</w:t>
      </w:r>
      <w:r w:rsidRPr="00CD2F94">
        <w:t>. 2013, New York: Cambridge University Press. 977.</w:t>
      </w:r>
    </w:p>
    <w:p w:rsidR="0004584D" w:rsidRPr="0004584D" w:rsidRDefault="00CD2F94" w:rsidP="008C4812">
      <w:pPr>
        <w:ind w:firstLine="0"/>
      </w:pPr>
      <w:r>
        <w:fldChar w:fldCharType="end"/>
      </w:r>
    </w:p>
    <w:sectPr w:rsidR="0004584D" w:rsidRPr="0004584D" w:rsidSect="00773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EE" w:rsidRDefault="007A08EE" w:rsidP="00F57E46">
      <w:pPr>
        <w:spacing w:after="0"/>
      </w:pPr>
      <w:r>
        <w:separator/>
      </w:r>
    </w:p>
  </w:endnote>
  <w:endnote w:type="continuationSeparator" w:id="0">
    <w:p w:rsidR="007A08EE" w:rsidRDefault="007A08EE" w:rsidP="00F57E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79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609" w:rsidRDefault="00BA36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3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3609" w:rsidRDefault="00BA3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EE" w:rsidRDefault="007A08EE" w:rsidP="0040680C">
      <w:pPr>
        <w:widowControl w:val="0"/>
        <w:spacing w:after="0"/>
        <w:ind w:firstLine="0"/>
      </w:pPr>
      <w:r>
        <w:separator/>
      </w:r>
    </w:p>
  </w:footnote>
  <w:footnote w:type="continuationSeparator" w:id="0">
    <w:p w:rsidR="007A08EE" w:rsidRDefault="007A08EE" w:rsidP="00F57E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Numbered in alphabetical order USE THI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5rzxept6frddle9ft3pexxowspvpw5p2efx&quot;&gt;Bob December 18-1 2014&lt;record-ids&gt;&lt;item&gt;24847&lt;/item&gt;&lt;item&gt;25156&lt;/item&gt;&lt;item&gt;25157&lt;/item&gt;&lt;item&gt;25161&lt;/item&gt;&lt;/record-ids&gt;&lt;/item&gt;&lt;/Libraries&gt;"/>
  </w:docVars>
  <w:rsids>
    <w:rsidRoot w:val="00FC4D80"/>
    <w:rsid w:val="000305B0"/>
    <w:rsid w:val="0004584D"/>
    <w:rsid w:val="000E46EB"/>
    <w:rsid w:val="0010234F"/>
    <w:rsid w:val="00191371"/>
    <w:rsid w:val="001F74A4"/>
    <w:rsid w:val="00201C55"/>
    <w:rsid w:val="002173C2"/>
    <w:rsid w:val="0023496D"/>
    <w:rsid w:val="00291EA2"/>
    <w:rsid w:val="002D0D15"/>
    <w:rsid w:val="00323367"/>
    <w:rsid w:val="0033422B"/>
    <w:rsid w:val="00391B7F"/>
    <w:rsid w:val="003F2296"/>
    <w:rsid w:val="00403021"/>
    <w:rsid w:val="0040680C"/>
    <w:rsid w:val="0042228C"/>
    <w:rsid w:val="00425F69"/>
    <w:rsid w:val="00432E11"/>
    <w:rsid w:val="00455271"/>
    <w:rsid w:val="00456FA6"/>
    <w:rsid w:val="004902FE"/>
    <w:rsid w:val="004E17EF"/>
    <w:rsid w:val="004E5DBB"/>
    <w:rsid w:val="005222E5"/>
    <w:rsid w:val="005700B4"/>
    <w:rsid w:val="0057057E"/>
    <w:rsid w:val="00585EB4"/>
    <w:rsid w:val="005D3316"/>
    <w:rsid w:val="00623B52"/>
    <w:rsid w:val="00694C52"/>
    <w:rsid w:val="006B11DE"/>
    <w:rsid w:val="00702B08"/>
    <w:rsid w:val="0074637C"/>
    <w:rsid w:val="00755686"/>
    <w:rsid w:val="007653B0"/>
    <w:rsid w:val="007733C1"/>
    <w:rsid w:val="007801B4"/>
    <w:rsid w:val="0078501E"/>
    <w:rsid w:val="007A08EE"/>
    <w:rsid w:val="007C358C"/>
    <w:rsid w:val="007C7E81"/>
    <w:rsid w:val="00805DD3"/>
    <w:rsid w:val="00853268"/>
    <w:rsid w:val="008619F6"/>
    <w:rsid w:val="00873626"/>
    <w:rsid w:val="00876A68"/>
    <w:rsid w:val="00884399"/>
    <w:rsid w:val="00886B20"/>
    <w:rsid w:val="008C05A5"/>
    <w:rsid w:val="008C4812"/>
    <w:rsid w:val="008C72E4"/>
    <w:rsid w:val="008D113C"/>
    <w:rsid w:val="008D1C76"/>
    <w:rsid w:val="008F6CD6"/>
    <w:rsid w:val="009325F4"/>
    <w:rsid w:val="00943BAC"/>
    <w:rsid w:val="009536E7"/>
    <w:rsid w:val="00997B7F"/>
    <w:rsid w:val="009B168D"/>
    <w:rsid w:val="009D3A29"/>
    <w:rsid w:val="009E044E"/>
    <w:rsid w:val="009E31E9"/>
    <w:rsid w:val="00A26801"/>
    <w:rsid w:val="00A317B3"/>
    <w:rsid w:val="00A7193D"/>
    <w:rsid w:val="00A90849"/>
    <w:rsid w:val="00AB2491"/>
    <w:rsid w:val="00AE6136"/>
    <w:rsid w:val="00B05379"/>
    <w:rsid w:val="00B206EB"/>
    <w:rsid w:val="00B23A1C"/>
    <w:rsid w:val="00BA3609"/>
    <w:rsid w:val="00BD2890"/>
    <w:rsid w:val="00BD3E86"/>
    <w:rsid w:val="00BF1F52"/>
    <w:rsid w:val="00C02AA5"/>
    <w:rsid w:val="00C03B6E"/>
    <w:rsid w:val="00C62299"/>
    <w:rsid w:val="00C96754"/>
    <w:rsid w:val="00CD2F94"/>
    <w:rsid w:val="00CE19C3"/>
    <w:rsid w:val="00D057B0"/>
    <w:rsid w:val="00D729D8"/>
    <w:rsid w:val="00DB45D3"/>
    <w:rsid w:val="00DC6974"/>
    <w:rsid w:val="00DD632F"/>
    <w:rsid w:val="00E15311"/>
    <w:rsid w:val="00E24B0C"/>
    <w:rsid w:val="00E835AB"/>
    <w:rsid w:val="00EC5E9B"/>
    <w:rsid w:val="00F239C6"/>
    <w:rsid w:val="00F55C4C"/>
    <w:rsid w:val="00F57E46"/>
    <w:rsid w:val="00F620F6"/>
    <w:rsid w:val="00F805B0"/>
    <w:rsid w:val="00F81D87"/>
    <w:rsid w:val="00F8689B"/>
    <w:rsid w:val="00FA4335"/>
    <w:rsid w:val="00FC4D80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5C4C"/>
  </w:style>
  <w:style w:type="character" w:styleId="Hyperlink">
    <w:name w:val="Hyperlink"/>
    <w:basedOn w:val="DefaultParagraphFont"/>
    <w:uiPriority w:val="99"/>
    <w:unhideWhenUsed/>
    <w:rsid w:val="00F55C4C"/>
    <w:rPr>
      <w:color w:val="0000FF"/>
      <w:u w:val="single"/>
    </w:rPr>
  </w:style>
  <w:style w:type="table" w:styleId="TableGrid">
    <w:name w:val="Table Grid"/>
    <w:basedOn w:val="TableNormal"/>
    <w:uiPriority w:val="59"/>
    <w:rsid w:val="007463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54B4"/>
    <w:pPr>
      <w:spacing w:before="100" w:beforeAutospacing="1" w:after="100" w:afterAutospacing="1"/>
      <w:ind w:firstLine="0"/>
    </w:pPr>
    <w:rPr>
      <w:rFonts w:eastAsiaTheme="minorEastAsia"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F54B4"/>
    <w:pPr>
      <w:tabs>
        <w:tab w:val="center" w:pos="4680"/>
        <w:tab w:val="right" w:pos="9360"/>
      </w:tabs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FF54B4"/>
  </w:style>
  <w:style w:type="paragraph" w:styleId="FootnoteText">
    <w:name w:val="footnote text"/>
    <w:basedOn w:val="Normal"/>
    <w:link w:val="FootnoteTextChar"/>
    <w:uiPriority w:val="99"/>
    <w:semiHidden/>
    <w:unhideWhenUsed/>
    <w:rsid w:val="00F57E4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E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E46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CD2F94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D2F94"/>
    <w:rPr>
      <w:rFonts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CD2F94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D2F94"/>
    <w:rPr>
      <w:rFonts w:cs="Times New Roman"/>
      <w:noProof/>
    </w:rPr>
  </w:style>
  <w:style w:type="character" w:customStyle="1" w:styleId="MTEquationSection">
    <w:name w:val="MTEquationSection"/>
    <w:basedOn w:val="DefaultParagraphFont"/>
    <w:rsid w:val="007C358C"/>
    <w:rPr>
      <w:vanish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BA36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3609"/>
  </w:style>
  <w:style w:type="paragraph" w:styleId="Footer">
    <w:name w:val="footer"/>
    <w:basedOn w:val="Normal"/>
    <w:link w:val="FooterChar"/>
    <w:uiPriority w:val="99"/>
    <w:unhideWhenUsed/>
    <w:rsid w:val="00BA36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3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5C4C"/>
  </w:style>
  <w:style w:type="character" w:styleId="Hyperlink">
    <w:name w:val="Hyperlink"/>
    <w:basedOn w:val="DefaultParagraphFont"/>
    <w:uiPriority w:val="99"/>
    <w:unhideWhenUsed/>
    <w:rsid w:val="00F55C4C"/>
    <w:rPr>
      <w:color w:val="0000FF"/>
      <w:u w:val="single"/>
    </w:rPr>
  </w:style>
  <w:style w:type="table" w:styleId="TableGrid">
    <w:name w:val="Table Grid"/>
    <w:basedOn w:val="TableNormal"/>
    <w:uiPriority w:val="59"/>
    <w:rsid w:val="007463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54B4"/>
    <w:pPr>
      <w:spacing w:before="100" w:beforeAutospacing="1" w:after="100" w:afterAutospacing="1"/>
      <w:ind w:firstLine="0"/>
    </w:pPr>
    <w:rPr>
      <w:rFonts w:eastAsiaTheme="minorEastAsia"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F54B4"/>
    <w:pPr>
      <w:tabs>
        <w:tab w:val="center" w:pos="4680"/>
        <w:tab w:val="right" w:pos="9360"/>
      </w:tabs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FF54B4"/>
  </w:style>
  <w:style w:type="paragraph" w:styleId="FootnoteText">
    <w:name w:val="footnote text"/>
    <w:basedOn w:val="Normal"/>
    <w:link w:val="FootnoteTextChar"/>
    <w:uiPriority w:val="99"/>
    <w:semiHidden/>
    <w:unhideWhenUsed/>
    <w:rsid w:val="00F57E4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E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E46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CD2F94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D2F94"/>
    <w:rPr>
      <w:rFonts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CD2F94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D2F94"/>
    <w:rPr>
      <w:rFonts w:cs="Times New Roman"/>
      <w:noProof/>
    </w:rPr>
  </w:style>
  <w:style w:type="character" w:customStyle="1" w:styleId="MTEquationSection">
    <w:name w:val="MTEquationSection"/>
    <w:basedOn w:val="DefaultParagraphFont"/>
    <w:rsid w:val="007C358C"/>
    <w:rPr>
      <w:vanish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BA36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3609"/>
  </w:style>
  <w:style w:type="paragraph" w:styleId="Footer">
    <w:name w:val="footer"/>
    <w:basedOn w:val="Normal"/>
    <w:link w:val="FooterChar"/>
    <w:uiPriority w:val="99"/>
    <w:unhideWhenUsed/>
    <w:rsid w:val="00BA36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hyperlink" Target="http://arxiv.org/" TargetMode="Externa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yperlink" Target="http://arxiv.org/abs/1410.2746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yperlink" Target="http://arxiv.org/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hyperlink" Target="http://arxiv.org/abs/hep-th/0503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Eisenberg</dc:creator>
  <cp:lastModifiedBy>Bob Eisenberg</cp:lastModifiedBy>
  <cp:revision>3</cp:revision>
  <dcterms:created xsi:type="dcterms:W3CDTF">2014-12-20T18:57:00Z</dcterms:created>
  <dcterms:modified xsi:type="dcterms:W3CDTF">2014-12-20T19:05:00Z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(S-#E1)</vt:lpwstr>
  </property>
  <property fmtid="{D5CDD505-2E9C-101B-9397-08002B2CF9AE}" pid="5" name="MTCustomEquationNumber">
    <vt:lpwstr>1</vt:lpwstr>
  </property>
</Properties>
</file>