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1B" w:rsidRPr="00EA5E0A" w:rsidRDefault="001E7CC5" w:rsidP="00D02F1B">
      <w:pPr>
        <w:jc w:val="center"/>
        <w:rPr>
          <w:rFonts w:ascii="Cambria" w:hAnsi="Cambria"/>
        </w:rPr>
      </w:pPr>
      <w:r w:rsidRPr="00EA5E0A">
        <w:rPr>
          <w:rFonts w:ascii="Cambria" w:hAnsi="Cambria"/>
        </w:rPr>
        <w:t xml:space="preserve">From </w:t>
      </w:r>
      <w:r w:rsidRPr="00EA5E0A">
        <w:rPr>
          <w:rFonts w:ascii="Cambria" w:hAnsi="Cambria"/>
          <w:b/>
        </w:rPr>
        <w:t>Atomic Biology</w:t>
      </w:r>
      <w:r w:rsidRPr="00EA5E0A">
        <w:rPr>
          <w:rFonts w:ascii="Cambria" w:hAnsi="Cambria"/>
        </w:rPr>
        <w:t xml:space="preserve">…., p. </w:t>
      </w:r>
      <w:r w:rsidR="000D7AC7" w:rsidRPr="00EA5E0A">
        <w:rPr>
          <w:rFonts w:ascii="Cambria" w:hAnsi="Cambria"/>
        </w:rPr>
        <w:t>21-</w:t>
      </w:r>
      <w:r w:rsidRPr="00EA5E0A">
        <w:rPr>
          <w:rFonts w:ascii="Cambria" w:hAnsi="Cambria"/>
        </w:rPr>
        <w:t xml:space="preserve">22, </w:t>
      </w:r>
    </w:p>
    <w:p w:rsidR="001E7CC5" w:rsidRPr="00EA5E0A" w:rsidRDefault="001E7CC5" w:rsidP="00D02F1B">
      <w:pPr>
        <w:jc w:val="center"/>
        <w:rPr>
          <w:rFonts w:ascii="Cambria" w:hAnsi="Cambria"/>
        </w:rPr>
      </w:pPr>
      <w:r w:rsidRPr="00EA5E0A">
        <w:rPr>
          <w:rFonts w:ascii="Cambria" w:hAnsi="Cambria"/>
        </w:rPr>
        <w:t>published in the arXiv at http://arxiv.org/ with article id: 0807.0715</w:t>
      </w:r>
    </w:p>
    <w:p w:rsidR="001E7CC5" w:rsidRPr="00EA5E0A" w:rsidRDefault="001E7CC5" w:rsidP="00472A2D">
      <w:pPr>
        <w:rPr>
          <w:rFonts w:ascii="Cambria" w:hAnsi="Cambria"/>
        </w:rPr>
      </w:pPr>
    </w:p>
    <w:p w:rsidR="00925C46" w:rsidRDefault="000D7AC7" w:rsidP="00925C46">
      <w:pPr>
        <w:jc w:val="both"/>
        <w:rPr>
          <w:sz w:val="23"/>
          <w:szCs w:val="23"/>
        </w:rPr>
      </w:pPr>
      <w:r>
        <w:rPr>
          <w:sz w:val="23"/>
          <w:szCs w:val="23"/>
        </w:rPr>
        <w:t>“</w:t>
      </w:r>
      <w:r>
        <w:rPr>
          <w:sz w:val="23"/>
          <w:szCs w:val="23"/>
        </w:rPr>
        <w:t xml:space="preserve">Significant deviations from independence occur in all mixtures (even of ‘ideal’ gases: Mayer and Mayer, 1940, p. 203; Rowlinson and </w:t>
      </w:r>
      <w:proofErr w:type="spellStart"/>
      <w:r>
        <w:rPr>
          <w:sz w:val="23"/>
          <w:szCs w:val="23"/>
        </w:rPr>
        <w:t>Swinton</w:t>
      </w:r>
      <w:proofErr w:type="spellEnd"/>
      <w:r>
        <w:rPr>
          <w:sz w:val="23"/>
          <w:szCs w:val="23"/>
        </w:rPr>
        <w:t xml:space="preserve">, 1982), not only electrolyte solutions, although there the effects are much larger. Mixtures of gases show strong departures from ideal behavior (e.g., Chapman and Cowling, 1970). </w:t>
      </w:r>
      <w:r w:rsidR="00925C46">
        <w:t xml:space="preserve">Liquid mixtures cannot be understood “… solely from a knowledge of the  pure components. Such attempts rest upon the fallacy that the forces </w:t>
      </w:r>
      <w:r w:rsidR="00925C46">
        <w:rPr>
          <w:position w:val="-10"/>
        </w:rPr>
        <w:object w:dxaOrig="7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17pt" o:ole="">
            <v:imagedata r:id="rId8" o:title=""/>
          </v:shape>
          <o:OLEObject Type="Embed" ProgID="Equation" ShapeID="_x0000_i1025" DrawAspect="Content" ObjectID="_1430803780" r:id="rId9"/>
        </w:object>
      </w:r>
      <w:r w:rsidR="00925C46">
        <w:t xml:space="preserve"> between two molecules of species </w:t>
      </w:r>
      <w:r w:rsidR="00925C46">
        <w:sym w:font="Symbol" w:char="F061"/>
      </w:r>
      <w:r w:rsidR="00925C46">
        <w:t xml:space="preserve"> and </w:t>
      </w:r>
      <w:r w:rsidR="00925C46">
        <w:sym w:font="Symbol" w:char="F062"/>
      </w:r>
      <w:r w:rsidR="00925C46">
        <w:t xml:space="preserve"> are always determinable from the strengths of the forces </w:t>
      </w:r>
      <w:r w:rsidR="00925C46">
        <w:rPr>
          <w:position w:val="-10"/>
        </w:rPr>
        <w:object w:dxaOrig="780" w:dyaOrig="320">
          <v:shape id="_x0000_i1026" type="#_x0000_t75" style="width:39pt;height:16pt" o:ole="">
            <v:imagedata r:id="rId10" o:title=""/>
          </v:shape>
          <o:OLEObject Type="Embed" ProgID="Equation" ShapeID="_x0000_i1026" DrawAspect="Content" ObjectID="_1430803781" r:id="rId11"/>
        </w:object>
      </w:r>
      <w:r w:rsidR="00925C46">
        <w:t xml:space="preserve"> and </w:t>
      </w:r>
      <w:r w:rsidR="00925C46">
        <w:rPr>
          <w:position w:val="-10"/>
        </w:rPr>
        <w:object w:dxaOrig="720" w:dyaOrig="340">
          <v:shape id="_x0000_i1027" type="#_x0000_t75" style="width:36pt;height:17pt" o:ole="">
            <v:imagedata r:id="rId12" o:title=""/>
          </v:shape>
          <o:OLEObject Type="Embed" ProgID="Equation" ShapeID="_x0000_i1027" DrawAspect="Content" ObjectID="_1430803782" r:id="rId13"/>
        </w:object>
      </w:r>
      <w:r w:rsidR="00925C46">
        <w:t xml:space="preserve">. If it were true that the </w:t>
      </w:r>
      <w:r w:rsidR="00925C46">
        <w:rPr>
          <w:position w:val="-10"/>
        </w:rPr>
        <w:object w:dxaOrig="740" w:dyaOrig="340">
          <v:shape id="_x0000_i1028" type="#_x0000_t75" style="width:37pt;height:17pt" o:ole="">
            <v:imagedata r:id="rId8" o:title=""/>
          </v:shape>
          <o:OLEObject Type="Embed" ProgID="Equation" ShapeID="_x0000_i1028" DrawAspect="Content" ObjectID="_1430803783" r:id="rId14"/>
        </w:object>
      </w:r>
      <w:r w:rsidR="00925C46">
        <w:t xml:space="preserve"> forces were always some ‘average’ of the </w:t>
      </w:r>
      <w:r w:rsidR="00925C46">
        <w:rPr>
          <w:position w:val="-10"/>
        </w:rPr>
        <w:object w:dxaOrig="780" w:dyaOrig="320">
          <v:shape id="_x0000_i1029" type="#_x0000_t75" style="width:39pt;height:16pt" o:ole="">
            <v:imagedata r:id="rId10" o:title=""/>
          </v:shape>
          <o:OLEObject Type="Embed" ProgID="Equation" ShapeID="_x0000_i1029" DrawAspect="Content" ObjectID="_1430803784" r:id="rId15"/>
        </w:object>
      </w:r>
      <w:r w:rsidR="00925C46">
        <w:t xml:space="preserve"> and </w:t>
      </w:r>
      <w:r w:rsidR="00925C46">
        <w:rPr>
          <w:position w:val="-10"/>
        </w:rPr>
        <w:object w:dxaOrig="720" w:dyaOrig="340">
          <v:shape id="_x0000_i1030" type="#_x0000_t75" style="width:36pt;height:17pt" o:ole="">
            <v:imagedata r:id="rId12" o:title=""/>
          </v:shape>
          <o:OLEObject Type="Embed" ProgID="Equation" ShapeID="_x0000_i1030" DrawAspect="Content" ObjectID="_1430803785" r:id="rId16"/>
        </w:object>
      </w:r>
      <w:r w:rsidR="00925C46">
        <w:t xml:space="preserve"> forces, then the properties of a binary mixture would be predictable in principle solely from a knowledge of those of the two pure components. However, such averaging is not universally valid. It is true that for very simple substances and for the prediction of relatively crude properties there are suitable averages …. </w:t>
      </w:r>
      <w:r>
        <w:rPr>
          <w:sz w:val="23"/>
          <w:szCs w:val="23"/>
        </w:rPr>
        <w:t xml:space="preserve">However, such averaging is unsatisfactory for many classes of substances and inadequate for the detailed interpretation even of the simplest mixtures. One should rather take the observed properties of a binary mixture ….” (Rowlinson and </w:t>
      </w:r>
      <w:proofErr w:type="spellStart"/>
      <w:r>
        <w:rPr>
          <w:sz w:val="23"/>
          <w:szCs w:val="23"/>
        </w:rPr>
        <w:t>Swinton</w:t>
      </w:r>
      <w:proofErr w:type="spellEnd"/>
      <w:r>
        <w:rPr>
          <w:sz w:val="23"/>
          <w:szCs w:val="23"/>
        </w:rPr>
        <w:t>, 1982, p. 86).</w:t>
      </w:r>
    </w:p>
    <w:p w:rsidR="00925C46" w:rsidRPr="00EA5E0A" w:rsidRDefault="00925C46" w:rsidP="00472A2D">
      <w:pPr>
        <w:rPr>
          <w:rFonts w:ascii="Cambria" w:hAnsi="Cambria"/>
        </w:rPr>
      </w:pPr>
    </w:p>
    <w:p w:rsidR="00367698" w:rsidRPr="00EA5E0A" w:rsidRDefault="001E7CC5" w:rsidP="001E7CC5">
      <w:pPr>
        <w:jc w:val="both"/>
        <w:rPr>
          <w:rFonts w:ascii="Cambria" w:hAnsi="Cambria"/>
        </w:rPr>
      </w:pPr>
      <w:r w:rsidRPr="00EA5E0A">
        <w:rPr>
          <w:rFonts w:ascii="Cambria" w:hAnsi="Cambria"/>
        </w:rPr>
        <w:t xml:space="preserve">Non-ideal behavior is even more apparent in the non-equilibrium properties of mixed electrolyte solutions, e.g., in their conductance. “It has long been known (Bray and Hunt, 1911), that the conductances of </w:t>
      </w:r>
      <w:r w:rsidRPr="00EA5E0A">
        <w:rPr>
          <w:rFonts w:ascii="Cambria" w:hAnsi="Cambria"/>
          <w:b/>
          <w:bCs/>
          <w:i/>
          <w:iCs/>
        </w:rPr>
        <w:t xml:space="preserve">even very dilute solutions </w:t>
      </w:r>
      <w:r w:rsidRPr="00EA5E0A">
        <w:rPr>
          <w:rFonts w:ascii="Cambria" w:hAnsi="Cambria"/>
        </w:rPr>
        <w:t xml:space="preserve">of mixed electrolytes are </w:t>
      </w:r>
      <w:r w:rsidRPr="00EA5E0A">
        <w:rPr>
          <w:rFonts w:ascii="Cambria" w:hAnsi="Cambria"/>
          <w:b/>
          <w:bCs/>
          <w:i/>
          <w:iCs/>
        </w:rPr>
        <w:t>not additive</w:t>
      </w:r>
      <w:r w:rsidRPr="00EA5E0A">
        <w:rPr>
          <w:rFonts w:ascii="Cambria" w:hAnsi="Cambria"/>
        </w:rPr>
        <w:t xml:space="preserve">, so that </w:t>
      </w:r>
      <w:proofErr w:type="spellStart"/>
      <w:r w:rsidRPr="00EA5E0A">
        <w:rPr>
          <w:rFonts w:ascii="Cambria" w:hAnsi="Cambria"/>
        </w:rPr>
        <w:t>Kohlrausch’s</w:t>
      </w:r>
      <w:proofErr w:type="spellEnd"/>
      <w:r w:rsidRPr="00EA5E0A">
        <w:rPr>
          <w:rFonts w:ascii="Cambria" w:hAnsi="Cambria"/>
        </w:rPr>
        <w:t xml:space="preserve"> law of independent ionic </w:t>
      </w:r>
      <w:proofErr w:type="spellStart"/>
      <w:r w:rsidRPr="00EA5E0A">
        <w:rPr>
          <w:rFonts w:ascii="Cambria" w:hAnsi="Cambria"/>
        </w:rPr>
        <w:t>mobilities</w:t>
      </w:r>
      <w:proofErr w:type="spellEnd"/>
      <w:r w:rsidRPr="00EA5E0A">
        <w:rPr>
          <w:rFonts w:ascii="Cambria" w:hAnsi="Cambria"/>
        </w:rPr>
        <w:t xml:space="preserve"> is </w:t>
      </w:r>
      <w:r w:rsidRPr="00EA5E0A">
        <w:rPr>
          <w:rFonts w:ascii="Cambria" w:hAnsi="Cambria"/>
          <w:b/>
          <w:bCs/>
          <w:i/>
          <w:iCs/>
        </w:rPr>
        <w:t>not valid for mixtures</w:t>
      </w:r>
      <w:r w:rsidRPr="00EA5E0A">
        <w:rPr>
          <w:rFonts w:ascii="Cambria" w:hAnsi="Cambria"/>
        </w:rPr>
        <w:t xml:space="preserve">.” </w:t>
      </w:r>
      <w:r w:rsidR="00D02F1B" w:rsidRPr="00EA5E0A">
        <w:rPr>
          <w:rFonts w:ascii="Cambria" w:hAnsi="Cambria"/>
        </w:rPr>
        <w:t>(</w:t>
      </w:r>
      <w:proofErr w:type="spellStart"/>
      <w:r w:rsidR="00D02F1B" w:rsidRPr="00EA5E0A">
        <w:rPr>
          <w:rFonts w:ascii="Cambria" w:hAnsi="Cambria"/>
        </w:rPr>
        <w:t>Kortum</w:t>
      </w:r>
      <w:proofErr w:type="spellEnd"/>
      <w:r w:rsidR="00D02F1B" w:rsidRPr="00EA5E0A">
        <w:rPr>
          <w:rFonts w:ascii="Cambria" w:hAnsi="Cambria"/>
        </w:rPr>
        <w:t xml:space="preserve">, </w:t>
      </w:r>
      <w:r w:rsidRPr="00EA5E0A">
        <w:rPr>
          <w:rFonts w:ascii="Cambria" w:hAnsi="Cambria"/>
        </w:rPr>
        <w:t>1965, p.</w:t>
      </w:r>
      <w:r w:rsidRPr="00EA5E0A">
        <w:rPr>
          <w:rFonts w:ascii="Cambria" w:hAnsi="Cambria"/>
        </w:rPr>
        <w:t> </w:t>
      </w:r>
      <w:r w:rsidRPr="00EA5E0A">
        <w:rPr>
          <w:rFonts w:ascii="Cambria" w:hAnsi="Cambria"/>
        </w:rPr>
        <w:t>211).</w:t>
      </w:r>
      <w:r w:rsidR="00D02F1B">
        <w:rPr>
          <w:sz w:val="23"/>
          <w:szCs w:val="23"/>
        </w:rPr>
        <w:t>.</w:t>
      </w:r>
      <w:r w:rsidR="00D02F1B" w:rsidRPr="00D02F1B">
        <w:rPr>
          <w:rFonts w:ascii="Cambria" w:hAnsi="Cambria"/>
        </w:rPr>
        <w:t xml:space="preserve"> </w:t>
      </w:r>
      <w:r w:rsidRPr="00EA5E0A">
        <w:rPr>
          <w:rFonts w:ascii="Cambria" w:hAnsi="Cambria"/>
        </w:rPr>
        <w:t>“</w:t>
      </w:r>
      <w:proofErr w:type="spellStart"/>
      <w:r w:rsidRPr="00EA5E0A">
        <w:rPr>
          <w:rFonts w:ascii="Cambria" w:hAnsi="Cambria"/>
        </w:rPr>
        <w:t>Kohlrausch’s</w:t>
      </w:r>
      <w:proofErr w:type="spellEnd"/>
      <w:r w:rsidRPr="00EA5E0A">
        <w:rPr>
          <w:rFonts w:ascii="Cambria" w:hAnsi="Cambria"/>
        </w:rPr>
        <w:t xml:space="preserve"> rule of the independent migration of ions, valid as a limiting law for simple binary electrolytes, does not apply to mixtures, nor are the conductances additive.” (Onsager and Fuoss, 1932).</w:t>
      </w:r>
    </w:p>
    <w:p w:rsidR="00D02F1B" w:rsidRPr="00EA5E0A" w:rsidRDefault="00D02F1B" w:rsidP="001E7CC5">
      <w:pPr>
        <w:jc w:val="both"/>
        <w:rPr>
          <w:rFonts w:ascii="Cambria" w:hAnsi="Cambria"/>
        </w:rPr>
      </w:pPr>
    </w:p>
    <w:p w:rsidR="00945D41" w:rsidRPr="00EA5E0A" w:rsidRDefault="00945D41" w:rsidP="001E7CC5">
      <w:pPr>
        <w:jc w:val="both"/>
        <w:rPr>
          <w:rFonts w:ascii="Cambria" w:hAnsi="Cambria"/>
        </w:rPr>
      </w:pPr>
    </w:p>
    <w:p w:rsidR="00945D41" w:rsidRPr="00EA5E0A" w:rsidRDefault="00D936DB" w:rsidP="00D936DB">
      <w:pPr>
        <w:jc w:val="center"/>
        <w:rPr>
          <w:rFonts w:ascii="Cambria" w:hAnsi="Cambria"/>
          <w:b/>
          <w:u w:val="single"/>
        </w:rPr>
      </w:pPr>
      <w:r w:rsidRPr="00EA5E0A">
        <w:rPr>
          <w:rFonts w:ascii="Cambria" w:hAnsi="Cambria"/>
          <w:b/>
          <w:u w:val="single"/>
        </w:rPr>
        <w:t>References</w:t>
      </w:r>
    </w:p>
    <w:p w:rsidR="00945D41" w:rsidRPr="00EA5E0A" w:rsidRDefault="00945D41" w:rsidP="00D936DB">
      <w:pPr>
        <w:jc w:val="both"/>
        <w:rPr>
          <w:rFonts w:ascii="Cambria" w:hAnsi="Cambria"/>
          <w:sz w:val="20"/>
          <w:szCs w:val="20"/>
        </w:rPr>
      </w:pPr>
      <w:r w:rsidRPr="00EA5E0A">
        <w:rPr>
          <w:rFonts w:ascii="Cambria" w:hAnsi="Cambria"/>
          <w:sz w:val="20"/>
          <w:szCs w:val="20"/>
        </w:rPr>
        <w:t>Bray, W.C. and Hunt, F.L. (1911). The conductance of aqueous solutions of sodium chloride, hydrochloric acid, and their mixtures. J. Am. Chem. Soc. 33: 781.</w:t>
      </w:r>
    </w:p>
    <w:p w:rsidR="00D936DB" w:rsidRPr="00EA5E0A" w:rsidRDefault="00D936DB" w:rsidP="00363FDE">
      <w:pPr>
        <w:widowControl/>
        <w:autoSpaceDE w:val="0"/>
        <w:autoSpaceDN w:val="0"/>
        <w:adjustRightInd w:val="0"/>
        <w:rPr>
          <w:rFonts w:ascii="Cambria" w:hAnsi="Cambria"/>
          <w:sz w:val="20"/>
          <w:szCs w:val="20"/>
        </w:rPr>
      </w:pPr>
      <w:r w:rsidRPr="00EA5E0A">
        <w:rPr>
          <w:rFonts w:ascii="Cambria" w:hAnsi="Cambria"/>
          <w:sz w:val="20"/>
          <w:szCs w:val="20"/>
        </w:rPr>
        <w:t xml:space="preserve">Chapman, S. and Cowling, T.G. (1970). </w:t>
      </w:r>
      <w:r w:rsidRPr="00EA5E0A">
        <w:rPr>
          <w:rFonts w:ascii="Cambria" w:hAnsi="Cambria"/>
          <w:b/>
          <w:i/>
          <w:sz w:val="20"/>
          <w:szCs w:val="20"/>
        </w:rPr>
        <w:t>The Mathematical Theory of Non-Uniform Gases</w:t>
      </w:r>
      <w:r w:rsidRPr="00EA5E0A">
        <w:rPr>
          <w:rFonts w:ascii="Cambria" w:hAnsi="Cambria"/>
          <w:sz w:val="20"/>
          <w:szCs w:val="20"/>
        </w:rPr>
        <w:t>. (3rd Edition). Cambridge University Press, Cambridge.</w:t>
      </w:r>
    </w:p>
    <w:p w:rsidR="00D936DB" w:rsidRPr="00EA5E0A" w:rsidRDefault="007777C1" w:rsidP="00D936DB">
      <w:pPr>
        <w:widowControl/>
        <w:autoSpaceDE w:val="0"/>
        <w:autoSpaceDN w:val="0"/>
        <w:adjustRightInd w:val="0"/>
        <w:rPr>
          <w:rFonts w:ascii="Cambria" w:hAnsi="Cambria"/>
          <w:sz w:val="20"/>
          <w:szCs w:val="20"/>
        </w:rPr>
      </w:pPr>
      <w:proofErr w:type="spellStart"/>
      <w:r w:rsidRPr="00EA5E0A">
        <w:rPr>
          <w:rFonts w:ascii="Cambria" w:hAnsi="Cambria"/>
          <w:sz w:val="20"/>
          <w:szCs w:val="20"/>
        </w:rPr>
        <w:t>Kortum</w:t>
      </w:r>
      <w:proofErr w:type="spellEnd"/>
      <w:r w:rsidRPr="00EA5E0A">
        <w:rPr>
          <w:rFonts w:ascii="Cambria" w:hAnsi="Cambria"/>
          <w:sz w:val="20"/>
          <w:szCs w:val="20"/>
        </w:rPr>
        <w:t xml:space="preserve">, G.  </w:t>
      </w:r>
      <w:r w:rsidRPr="00EA5E0A">
        <w:rPr>
          <w:rFonts w:ascii="Cambria" w:hAnsi="Cambria"/>
          <w:sz w:val="20"/>
          <w:szCs w:val="20"/>
        </w:rPr>
        <w:t xml:space="preserve">(1965). </w:t>
      </w:r>
      <w:r w:rsidRPr="00EA5E0A">
        <w:rPr>
          <w:rFonts w:ascii="Cambria" w:hAnsi="Cambria"/>
          <w:b/>
          <w:bCs/>
          <w:i/>
          <w:iCs/>
          <w:sz w:val="20"/>
          <w:szCs w:val="20"/>
        </w:rPr>
        <w:t>Treatise on Electrochemistry</w:t>
      </w:r>
      <w:r w:rsidRPr="00EA5E0A">
        <w:rPr>
          <w:rFonts w:ascii="Cambria" w:hAnsi="Cambria"/>
          <w:sz w:val="20"/>
          <w:szCs w:val="20"/>
        </w:rPr>
        <w:t>, (2nd Edition), Elsevier, New York</w:t>
      </w:r>
    </w:p>
    <w:p w:rsidR="00D936DB" w:rsidRPr="00EA5E0A" w:rsidRDefault="00D936DB" w:rsidP="00D936DB">
      <w:pPr>
        <w:widowControl/>
        <w:autoSpaceDE w:val="0"/>
        <w:autoSpaceDN w:val="0"/>
        <w:adjustRightInd w:val="0"/>
        <w:rPr>
          <w:rFonts w:ascii="Cambria" w:hAnsi="Cambria"/>
          <w:i/>
          <w:sz w:val="20"/>
          <w:szCs w:val="20"/>
        </w:rPr>
      </w:pPr>
      <w:r w:rsidRPr="00EA5E0A">
        <w:rPr>
          <w:rFonts w:ascii="Cambria" w:hAnsi="Cambria"/>
          <w:i/>
          <w:sz w:val="20"/>
          <w:szCs w:val="20"/>
        </w:rPr>
        <w:t xml:space="preserve">Mayer, J.E. and Mayer, M.G. (1940). </w:t>
      </w:r>
      <w:r w:rsidRPr="00EA5E0A">
        <w:rPr>
          <w:rFonts w:ascii="Cambria" w:hAnsi="Cambria"/>
          <w:b/>
          <w:i/>
          <w:sz w:val="20"/>
          <w:szCs w:val="20"/>
        </w:rPr>
        <w:t>Statistical Mechanics</w:t>
      </w:r>
      <w:r w:rsidRPr="00EA5E0A">
        <w:rPr>
          <w:rFonts w:ascii="Cambria" w:hAnsi="Cambria"/>
          <w:i/>
          <w:sz w:val="20"/>
          <w:szCs w:val="20"/>
        </w:rPr>
        <w:t>. John Wiley &amp; Sons, New York.</w:t>
      </w:r>
    </w:p>
    <w:p w:rsidR="00D02F1B" w:rsidRPr="00EA5E0A" w:rsidRDefault="00D02F1B" w:rsidP="00D936DB">
      <w:pPr>
        <w:widowControl/>
        <w:autoSpaceDE w:val="0"/>
        <w:autoSpaceDN w:val="0"/>
        <w:adjustRightInd w:val="0"/>
        <w:rPr>
          <w:rFonts w:ascii="Cambria" w:hAnsi="Cambria"/>
          <w:kern w:val="0"/>
          <w:sz w:val="20"/>
          <w:szCs w:val="20"/>
          <w:lang w:eastAsia="en-US"/>
        </w:rPr>
      </w:pPr>
      <w:r w:rsidRPr="00EA5E0A">
        <w:rPr>
          <w:rFonts w:ascii="Cambria" w:hAnsi="Cambria"/>
          <w:kern w:val="0"/>
          <w:sz w:val="20"/>
          <w:szCs w:val="20"/>
          <w:lang w:eastAsia="en-US"/>
        </w:rPr>
        <w:t xml:space="preserve">Onsager, L. </w:t>
      </w:r>
      <w:bookmarkStart w:id="0" w:name="_GoBack"/>
      <w:r w:rsidRPr="00EA5E0A">
        <w:rPr>
          <w:rFonts w:ascii="Cambria" w:hAnsi="Cambria"/>
          <w:kern w:val="0"/>
          <w:sz w:val="20"/>
          <w:szCs w:val="20"/>
          <w:lang w:eastAsia="en-US"/>
        </w:rPr>
        <w:t xml:space="preserve">and </w:t>
      </w:r>
      <w:bookmarkEnd w:id="0"/>
      <w:r w:rsidRPr="00EA5E0A">
        <w:rPr>
          <w:rFonts w:ascii="Cambria" w:hAnsi="Cambria"/>
          <w:kern w:val="0"/>
          <w:sz w:val="20"/>
          <w:szCs w:val="20"/>
          <w:lang w:eastAsia="en-US"/>
        </w:rPr>
        <w:t>Fuoss, R.M. (1932). Irreversible processes in electrolytes. J. Phys. Chem. 36:</w:t>
      </w:r>
    </w:p>
    <w:p w:rsidR="00D02F1B" w:rsidRPr="00EA5E0A" w:rsidRDefault="00D02F1B" w:rsidP="00D936DB">
      <w:pPr>
        <w:jc w:val="both"/>
        <w:rPr>
          <w:rFonts w:ascii="Cambria" w:hAnsi="Cambria"/>
          <w:kern w:val="0"/>
          <w:sz w:val="20"/>
          <w:szCs w:val="20"/>
          <w:lang w:eastAsia="en-US"/>
        </w:rPr>
      </w:pPr>
      <w:r w:rsidRPr="00EA5E0A">
        <w:rPr>
          <w:rFonts w:ascii="Cambria" w:hAnsi="Cambria"/>
          <w:kern w:val="0"/>
          <w:sz w:val="20"/>
          <w:szCs w:val="20"/>
          <w:lang w:eastAsia="en-US"/>
        </w:rPr>
        <w:t>2689-2778.</w:t>
      </w:r>
    </w:p>
    <w:p w:rsidR="00D936DB" w:rsidRPr="00EA5E0A" w:rsidRDefault="00D936DB" w:rsidP="00D936DB">
      <w:pPr>
        <w:widowControl/>
        <w:autoSpaceDE w:val="0"/>
        <w:autoSpaceDN w:val="0"/>
        <w:adjustRightInd w:val="0"/>
        <w:rPr>
          <w:rFonts w:ascii="Cambria" w:hAnsi="Cambria"/>
          <w:spacing w:val="-2"/>
          <w:sz w:val="20"/>
          <w:szCs w:val="20"/>
        </w:rPr>
      </w:pPr>
      <w:r w:rsidRPr="00EA5E0A">
        <w:rPr>
          <w:rFonts w:ascii="Cambria" w:hAnsi="Cambria"/>
          <w:spacing w:val="-2"/>
          <w:sz w:val="20"/>
          <w:szCs w:val="20"/>
        </w:rPr>
        <w:t xml:space="preserve">Rowlinson, J.S. and </w:t>
      </w:r>
      <w:proofErr w:type="spellStart"/>
      <w:r w:rsidRPr="00EA5E0A">
        <w:rPr>
          <w:rFonts w:ascii="Cambria" w:hAnsi="Cambria"/>
          <w:spacing w:val="-2"/>
          <w:sz w:val="20"/>
          <w:szCs w:val="20"/>
        </w:rPr>
        <w:t>Swinton</w:t>
      </w:r>
      <w:proofErr w:type="spellEnd"/>
      <w:r w:rsidRPr="00EA5E0A">
        <w:rPr>
          <w:rFonts w:ascii="Cambria" w:hAnsi="Cambria"/>
          <w:spacing w:val="-2"/>
          <w:sz w:val="20"/>
          <w:szCs w:val="20"/>
        </w:rPr>
        <w:t xml:space="preserve">, F.L. (1982). </w:t>
      </w:r>
      <w:r w:rsidRPr="00EA5E0A">
        <w:rPr>
          <w:rFonts w:ascii="Cambria" w:hAnsi="Cambria"/>
          <w:b/>
          <w:i/>
          <w:spacing w:val="-2"/>
          <w:sz w:val="20"/>
          <w:szCs w:val="20"/>
        </w:rPr>
        <w:t>Liquids and Liquid Mixtures.</w:t>
      </w:r>
      <w:r w:rsidRPr="00EA5E0A">
        <w:rPr>
          <w:rFonts w:ascii="Cambria" w:hAnsi="Cambria"/>
          <w:spacing w:val="-2"/>
          <w:sz w:val="20"/>
          <w:szCs w:val="20"/>
        </w:rPr>
        <w:t xml:space="preserve"> Butterworth Scientific. New York.</w:t>
      </w:r>
    </w:p>
    <w:p w:rsidR="00D936DB" w:rsidRPr="00EA5E0A" w:rsidRDefault="00D936DB" w:rsidP="00D02F1B">
      <w:pPr>
        <w:jc w:val="both"/>
        <w:rPr>
          <w:rFonts w:ascii="Cambria" w:hAnsi="Cambria"/>
        </w:rPr>
      </w:pPr>
    </w:p>
    <w:sectPr w:rsidR="00D936DB" w:rsidRPr="00EA5E0A" w:rsidSect="0018779D">
      <w:pgSz w:w="11906" w:h="16838"/>
      <w:pgMar w:top="990" w:right="836" w:bottom="1440" w:left="1440" w:header="57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E0A" w:rsidRDefault="00EA5E0A" w:rsidP="00667A42">
      <w:r>
        <w:separator/>
      </w:r>
    </w:p>
  </w:endnote>
  <w:endnote w:type="continuationSeparator" w:id="0">
    <w:p w:rsidR="00EA5E0A" w:rsidRDefault="00EA5E0A" w:rsidP="006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
    <w:altName w:val="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E0A" w:rsidRDefault="00EA5E0A" w:rsidP="00667A42">
      <w:r>
        <w:separator/>
      </w:r>
    </w:p>
  </w:footnote>
  <w:footnote w:type="continuationSeparator" w:id="0">
    <w:p w:rsidR="00EA5E0A" w:rsidRDefault="00EA5E0A" w:rsidP="00667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B9C"/>
    <w:multiLevelType w:val="multilevel"/>
    <w:tmpl w:val="25B852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EFE6B63"/>
    <w:multiLevelType w:val="hybridMultilevel"/>
    <w:tmpl w:val="731C932C"/>
    <w:lvl w:ilvl="0" w:tplc="CBEE0CFA">
      <w:start w:val="5"/>
      <w:numFmt w:val="upperRoman"/>
      <w:lvlText w:val="%1."/>
      <w:lvlJc w:val="left"/>
      <w:pPr>
        <w:tabs>
          <w:tab w:val="num" w:pos="1140"/>
        </w:tabs>
        <w:ind w:left="1140" w:hanging="720"/>
      </w:pPr>
      <w:rPr>
        <w:rFonts w:eastAsia="PMingLiU" w:hint="default"/>
      </w:rPr>
    </w:lvl>
    <w:lvl w:ilvl="1" w:tplc="0409000F">
      <w:start w:val="1"/>
      <w:numFmt w:val="decimal"/>
      <w:lvlText w:val="%2."/>
      <w:lvlJc w:val="left"/>
      <w:pPr>
        <w:tabs>
          <w:tab w:val="num" w:pos="1380"/>
        </w:tabs>
        <w:ind w:left="1380" w:hanging="480"/>
      </w:pPr>
      <w:rPr>
        <w:rFonts w:hint="default"/>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nsid w:val="11017B2F"/>
    <w:multiLevelType w:val="hybridMultilevel"/>
    <w:tmpl w:val="1F0C7216"/>
    <w:lvl w:ilvl="0" w:tplc="BF2226D0">
      <w:start w:val="1"/>
      <w:numFmt w:val="decimal"/>
      <w:lvlText w:val="[%1]"/>
      <w:lvlJc w:val="left"/>
      <w:pPr>
        <w:tabs>
          <w:tab w:val="num" w:pos="900"/>
        </w:tabs>
        <w:ind w:left="9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795D3A"/>
    <w:multiLevelType w:val="hybridMultilevel"/>
    <w:tmpl w:val="FE98BE12"/>
    <w:lvl w:ilvl="0" w:tplc="0270D154">
      <w:start w:val="1"/>
      <w:numFmt w:val="decimal"/>
      <w:lvlText w:val="(%1)"/>
      <w:lvlJc w:val="left"/>
      <w:pPr>
        <w:tabs>
          <w:tab w:val="num" w:pos="360"/>
        </w:tabs>
        <w:ind w:left="360" w:hanging="360"/>
      </w:pPr>
      <w:rPr>
        <w:rFonts w:hint="default"/>
      </w:rPr>
    </w:lvl>
    <w:lvl w:ilvl="1" w:tplc="6ED2D594">
      <w:start w:val="7"/>
      <w:numFmt w:val="upperRoman"/>
      <w:lvlText w:val="%2."/>
      <w:lvlJc w:val="left"/>
      <w:pPr>
        <w:tabs>
          <w:tab w:val="num" w:pos="1200"/>
        </w:tabs>
        <w:ind w:left="1200" w:hanging="720"/>
      </w:pPr>
      <w:rPr>
        <w:rFonts w:eastAsia="PMingLiU"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8B2E24"/>
    <w:multiLevelType w:val="hybridMultilevel"/>
    <w:tmpl w:val="ED1250F4"/>
    <w:lvl w:ilvl="0" w:tplc="C9823F62">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2ED44929"/>
    <w:multiLevelType w:val="hybridMultilevel"/>
    <w:tmpl w:val="659A4B6A"/>
    <w:lvl w:ilvl="0" w:tplc="F5E629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EC5DF5"/>
    <w:multiLevelType w:val="multilevel"/>
    <w:tmpl w:val="99B071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61C6629"/>
    <w:multiLevelType w:val="multilevel"/>
    <w:tmpl w:val="037E73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8">
    <w:nsid w:val="515C6CC0"/>
    <w:multiLevelType w:val="hybridMultilevel"/>
    <w:tmpl w:val="FB907CC8"/>
    <w:lvl w:ilvl="0" w:tplc="83EA0BEE">
      <w:start w:val="7"/>
      <w:numFmt w:val="bullet"/>
      <w:lvlText w:val="※"/>
      <w:lvlJc w:val="left"/>
      <w:pPr>
        <w:tabs>
          <w:tab w:val="num" w:pos="360"/>
        </w:tabs>
        <w:ind w:left="360" w:hanging="360"/>
      </w:pPr>
      <w:rPr>
        <w:rFonts w:ascii="Times New Roman" w:eastAsia="DFKai-SB"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71D4506"/>
    <w:multiLevelType w:val="hybridMultilevel"/>
    <w:tmpl w:val="CB0E8CF2"/>
    <w:lvl w:ilvl="0" w:tplc="AF9C6E10">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5EBC26F1"/>
    <w:multiLevelType w:val="hybridMultilevel"/>
    <w:tmpl w:val="4E5A5DEE"/>
    <w:lvl w:ilvl="0" w:tplc="E904F136">
      <w:start w:val="1"/>
      <w:numFmt w:val="upperRoman"/>
      <w:lvlText w:val="%1."/>
      <w:lvlJc w:val="left"/>
      <w:pPr>
        <w:tabs>
          <w:tab w:val="num" w:pos="720"/>
        </w:tabs>
        <w:ind w:left="720" w:hanging="720"/>
      </w:pPr>
      <w:rPr>
        <w:rFonts w:hint="default"/>
      </w:rPr>
    </w:lvl>
    <w:lvl w:ilvl="1" w:tplc="023633A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07E5577"/>
    <w:multiLevelType w:val="hybridMultilevel"/>
    <w:tmpl w:val="D57A2322"/>
    <w:lvl w:ilvl="0" w:tplc="283CCC5E">
      <w:start w:val="6"/>
      <w:numFmt w:val="upp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A3F25DC"/>
    <w:multiLevelType w:val="hybridMultilevel"/>
    <w:tmpl w:val="E7DECCC6"/>
    <w:lvl w:ilvl="0" w:tplc="5FBC4808">
      <w:start w:val="5"/>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7CF75EA6"/>
    <w:multiLevelType w:val="singleLevel"/>
    <w:tmpl w:val="82C2BE82"/>
    <w:lvl w:ilvl="0">
      <w:start w:val="1"/>
      <w:numFmt w:val="taiwaneseCountingThousand"/>
      <w:lvlText w:val="(%1)"/>
      <w:lvlJc w:val="left"/>
      <w:pPr>
        <w:tabs>
          <w:tab w:val="num" w:pos="870"/>
        </w:tabs>
        <w:ind w:left="870" w:hanging="390"/>
      </w:pPr>
      <w:rPr>
        <w:rFonts w:hint="eastAsia"/>
      </w:rPr>
    </w:lvl>
  </w:abstractNum>
  <w:abstractNum w:abstractNumId="14">
    <w:nsid w:val="7E6241C2"/>
    <w:multiLevelType w:val="hybridMultilevel"/>
    <w:tmpl w:val="DF38EBB2"/>
    <w:lvl w:ilvl="0" w:tplc="1B947C6C">
      <w:start w:val="1"/>
      <w:numFmt w:val="decimal"/>
      <w:lvlText w:val="%1."/>
      <w:lvlJc w:val="left"/>
      <w:pPr>
        <w:tabs>
          <w:tab w:val="num" w:pos="885"/>
        </w:tabs>
        <w:ind w:left="885" w:hanging="360"/>
      </w:pPr>
      <w:rPr>
        <w:rFonts w:hint="eastAsia"/>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num w:numId="1">
    <w:abstractNumId w:val="13"/>
  </w:num>
  <w:num w:numId="2">
    <w:abstractNumId w:val="14"/>
  </w:num>
  <w:num w:numId="3">
    <w:abstractNumId w:val="8"/>
  </w:num>
  <w:num w:numId="4">
    <w:abstractNumId w:val="5"/>
  </w:num>
  <w:num w:numId="5">
    <w:abstractNumId w:val="3"/>
  </w:num>
  <w:num w:numId="6">
    <w:abstractNumId w:val="10"/>
  </w:num>
  <w:num w:numId="7">
    <w:abstractNumId w:val="1"/>
  </w:num>
  <w:num w:numId="8">
    <w:abstractNumId w:val="2"/>
  </w:num>
  <w:num w:numId="9">
    <w:abstractNumId w:val="11"/>
  </w:num>
  <w:num w:numId="10">
    <w:abstractNumId w:val="9"/>
  </w:num>
  <w:num w:numId="11">
    <w:abstractNumId w:val="7"/>
  </w:num>
  <w:num w:numId="12">
    <w:abstractNumId w:val="0"/>
  </w:num>
  <w:num w:numId="13">
    <w:abstractNumId w:val="6"/>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CC5"/>
    <w:rsid w:val="000029AE"/>
    <w:rsid w:val="000364DA"/>
    <w:rsid w:val="0004252A"/>
    <w:rsid w:val="0006212B"/>
    <w:rsid w:val="000743E6"/>
    <w:rsid w:val="000869DA"/>
    <w:rsid w:val="00090690"/>
    <w:rsid w:val="00096456"/>
    <w:rsid w:val="000A220D"/>
    <w:rsid w:val="000A64D1"/>
    <w:rsid w:val="000C436F"/>
    <w:rsid w:val="000C5025"/>
    <w:rsid w:val="000C644C"/>
    <w:rsid w:val="000D081B"/>
    <w:rsid w:val="000D7AC7"/>
    <w:rsid w:val="000E5872"/>
    <w:rsid w:val="000E725E"/>
    <w:rsid w:val="00102437"/>
    <w:rsid w:val="001113F4"/>
    <w:rsid w:val="00114990"/>
    <w:rsid w:val="0012247E"/>
    <w:rsid w:val="001244B8"/>
    <w:rsid w:val="001315F3"/>
    <w:rsid w:val="0013181F"/>
    <w:rsid w:val="001442DA"/>
    <w:rsid w:val="001473E1"/>
    <w:rsid w:val="001502FE"/>
    <w:rsid w:val="001577E3"/>
    <w:rsid w:val="00163B2D"/>
    <w:rsid w:val="00175A7B"/>
    <w:rsid w:val="0018779D"/>
    <w:rsid w:val="001B51B5"/>
    <w:rsid w:val="001B7714"/>
    <w:rsid w:val="001B7ABB"/>
    <w:rsid w:val="001C07E5"/>
    <w:rsid w:val="001C2C03"/>
    <w:rsid w:val="001D09AA"/>
    <w:rsid w:val="001D18AF"/>
    <w:rsid w:val="001D4A60"/>
    <w:rsid w:val="001D61DE"/>
    <w:rsid w:val="001D6B4D"/>
    <w:rsid w:val="001E7CC5"/>
    <w:rsid w:val="001F27DB"/>
    <w:rsid w:val="001F5CBB"/>
    <w:rsid w:val="002121AF"/>
    <w:rsid w:val="002121FA"/>
    <w:rsid w:val="002220F8"/>
    <w:rsid w:val="00245844"/>
    <w:rsid w:val="00250BB0"/>
    <w:rsid w:val="00260947"/>
    <w:rsid w:val="00261C29"/>
    <w:rsid w:val="00274BD5"/>
    <w:rsid w:val="00282364"/>
    <w:rsid w:val="00283DA8"/>
    <w:rsid w:val="00283F15"/>
    <w:rsid w:val="00286332"/>
    <w:rsid w:val="00290F2A"/>
    <w:rsid w:val="002967AE"/>
    <w:rsid w:val="002A3E4B"/>
    <w:rsid w:val="002B649C"/>
    <w:rsid w:val="002E0A3C"/>
    <w:rsid w:val="00312BF4"/>
    <w:rsid w:val="00316419"/>
    <w:rsid w:val="00333A3C"/>
    <w:rsid w:val="00337367"/>
    <w:rsid w:val="00347602"/>
    <w:rsid w:val="003509C7"/>
    <w:rsid w:val="00363FDE"/>
    <w:rsid w:val="00367698"/>
    <w:rsid w:val="00367763"/>
    <w:rsid w:val="003806EF"/>
    <w:rsid w:val="0038220D"/>
    <w:rsid w:val="003872BD"/>
    <w:rsid w:val="003959EB"/>
    <w:rsid w:val="003B0100"/>
    <w:rsid w:val="00403721"/>
    <w:rsid w:val="00407265"/>
    <w:rsid w:val="00412BD1"/>
    <w:rsid w:val="00422865"/>
    <w:rsid w:val="0043748B"/>
    <w:rsid w:val="00446950"/>
    <w:rsid w:val="0045335D"/>
    <w:rsid w:val="004534D9"/>
    <w:rsid w:val="004609C5"/>
    <w:rsid w:val="004636EE"/>
    <w:rsid w:val="00472A2D"/>
    <w:rsid w:val="00477F58"/>
    <w:rsid w:val="004801C4"/>
    <w:rsid w:val="00483EEE"/>
    <w:rsid w:val="0048604C"/>
    <w:rsid w:val="00486FFA"/>
    <w:rsid w:val="00491616"/>
    <w:rsid w:val="004A378D"/>
    <w:rsid w:val="004B1726"/>
    <w:rsid w:val="004C172F"/>
    <w:rsid w:val="004E5858"/>
    <w:rsid w:val="004F6EF3"/>
    <w:rsid w:val="00516E22"/>
    <w:rsid w:val="005407B9"/>
    <w:rsid w:val="005521C6"/>
    <w:rsid w:val="00555D51"/>
    <w:rsid w:val="00575C6C"/>
    <w:rsid w:val="00587804"/>
    <w:rsid w:val="00592881"/>
    <w:rsid w:val="005C0336"/>
    <w:rsid w:val="005C1573"/>
    <w:rsid w:val="005C1E2C"/>
    <w:rsid w:val="005C7995"/>
    <w:rsid w:val="005D32F5"/>
    <w:rsid w:val="005D462F"/>
    <w:rsid w:val="005D5100"/>
    <w:rsid w:val="00605DF4"/>
    <w:rsid w:val="006133EE"/>
    <w:rsid w:val="00615EF2"/>
    <w:rsid w:val="0063062A"/>
    <w:rsid w:val="00636654"/>
    <w:rsid w:val="00645005"/>
    <w:rsid w:val="0064726A"/>
    <w:rsid w:val="00647DC8"/>
    <w:rsid w:val="00650E9F"/>
    <w:rsid w:val="00667A42"/>
    <w:rsid w:val="00674E87"/>
    <w:rsid w:val="006870FC"/>
    <w:rsid w:val="0068753F"/>
    <w:rsid w:val="00696227"/>
    <w:rsid w:val="00696F76"/>
    <w:rsid w:val="006A2655"/>
    <w:rsid w:val="006A59E7"/>
    <w:rsid w:val="006A79BA"/>
    <w:rsid w:val="006D7947"/>
    <w:rsid w:val="006F3EC8"/>
    <w:rsid w:val="006F5600"/>
    <w:rsid w:val="00720FF7"/>
    <w:rsid w:val="00747858"/>
    <w:rsid w:val="00771D1B"/>
    <w:rsid w:val="007777C1"/>
    <w:rsid w:val="00784165"/>
    <w:rsid w:val="007A29EF"/>
    <w:rsid w:val="007B128D"/>
    <w:rsid w:val="007C0B9F"/>
    <w:rsid w:val="007D0994"/>
    <w:rsid w:val="007D4575"/>
    <w:rsid w:val="007E66A9"/>
    <w:rsid w:val="007F0115"/>
    <w:rsid w:val="007F10CE"/>
    <w:rsid w:val="007F35DE"/>
    <w:rsid w:val="00803FAE"/>
    <w:rsid w:val="00810708"/>
    <w:rsid w:val="00830E1E"/>
    <w:rsid w:val="00834DA6"/>
    <w:rsid w:val="00836C16"/>
    <w:rsid w:val="008615FF"/>
    <w:rsid w:val="00890CAB"/>
    <w:rsid w:val="00890E2E"/>
    <w:rsid w:val="00892BC6"/>
    <w:rsid w:val="00897EC0"/>
    <w:rsid w:val="008A436F"/>
    <w:rsid w:val="008A7D76"/>
    <w:rsid w:val="008B220A"/>
    <w:rsid w:val="008B489B"/>
    <w:rsid w:val="008D0213"/>
    <w:rsid w:val="008D7207"/>
    <w:rsid w:val="008E7953"/>
    <w:rsid w:val="008E7F4E"/>
    <w:rsid w:val="00905C0E"/>
    <w:rsid w:val="00922A0F"/>
    <w:rsid w:val="009235F2"/>
    <w:rsid w:val="009252BE"/>
    <w:rsid w:val="00925C46"/>
    <w:rsid w:val="00926684"/>
    <w:rsid w:val="00941A99"/>
    <w:rsid w:val="00945D41"/>
    <w:rsid w:val="009538B7"/>
    <w:rsid w:val="00964AE3"/>
    <w:rsid w:val="009733C8"/>
    <w:rsid w:val="0097726C"/>
    <w:rsid w:val="009808F5"/>
    <w:rsid w:val="00982F1F"/>
    <w:rsid w:val="00986F0C"/>
    <w:rsid w:val="009A78D6"/>
    <w:rsid w:val="009B13D6"/>
    <w:rsid w:val="009B6DE9"/>
    <w:rsid w:val="009C61A4"/>
    <w:rsid w:val="009D01B1"/>
    <w:rsid w:val="009D767C"/>
    <w:rsid w:val="009D7B36"/>
    <w:rsid w:val="009E09BC"/>
    <w:rsid w:val="009F465B"/>
    <w:rsid w:val="00A02FB0"/>
    <w:rsid w:val="00A439C1"/>
    <w:rsid w:val="00A537B4"/>
    <w:rsid w:val="00A6716B"/>
    <w:rsid w:val="00A90FA0"/>
    <w:rsid w:val="00A91C29"/>
    <w:rsid w:val="00AA0CB4"/>
    <w:rsid w:val="00AA1C5E"/>
    <w:rsid w:val="00AA3513"/>
    <w:rsid w:val="00AB53FD"/>
    <w:rsid w:val="00AC7019"/>
    <w:rsid w:val="00AD53DA"/>
    <w:rsid w:val="00AD7C9F"/>
    <w:rsid w:val="00AF302F"/>
    <w:rsid w:val="00B13B50"/>
    <w:rsid w:val="00B16EE0"/>
    <w:rsid w:val="00B17DBC"/>
    <w:rsid w:val="00B27D6B"/>
    <w:rsid w:val="00B37351"/>
    <w:rsid w:val="00B662DC"/>
    <w:rsid w:val="00B67793"/>
    <w:rsid w:val="00B71712"/>
    <w:rsid w:val="00B74306"/>
    <w:rsid w:val="00B81794"/>
    <w:rsid w:val="00B82778"/>
    <w:rsid w:val="00B82D88"/>
    <w:rsid w:val="00B843EC"/>
    <w:rsid w:val="00B92B60"/>
    <w:rsid w:val="00BA2708"/>
    <w:rsid w:val="00BA5177"/>
    <w:rsid w:val="00BA5EF9"/>
    <w:rsid w:val="00BA6ED5"/>
    <w:rsid w:val="00BC2EBE"/>
    <w:rsid w:val="00BD33A6"/>
    <w:rsid w:val="00C01934"/>
    <w:rsid w:val="00C049D5"/>
    <w:rsid w:val="00C1507B"/>
    <w:rsid w:val="00C214C1"/>
    <w:rsid w:val="00C218BD"/>
    <w:rsid w:val="00C31234"/>
    <w:rsid w:val="00C333DD"/>
    <w:rsid w:val="00C33873"/>
    <w:rsid w:val="00C4050E"/>
    <w:rsid w:val="00C433B3"/>
    <w:rsid w:val="00C43A17"/>
    <w:rsid w:val="00C6034D"/>
    <w:rsid w:val="00C664E0"/>
    <w:rsid w:val="00C84D6D"/>
    <w:rsid w:val="00CA0B77"/>
    <w:rsid w:val="00CB2D4F"/>
    <w:rsid w:val="00CC2B87"/>
    <w:rsid w:val="00CC6311"/>
    <w:rsid w:val="00CE1A8C"/>
    <w:rsid w:val="00CF1FCB"/>
    <w:rsid w:val="00D02F1B"/>
    <w:rsid w:val="00D055D4"/>
    <w:rsid w:val="00D15139"/>
    <w:rsid w:val="00D17CC8"/>
    <w:rsid w:val="00D21BD7"/>
    <w:rsid w:val="00D25322"/>
    <w:rsid w:val="00D35C95"/>
    <w:rsid w:val="00D45E15"/>
    <w:rsid w:val="00D53F6C"/>
    <w:rsid w:val="00D61364"/>
    <w:rsid w:val="00D64605"/>
    <w:rsid w:val="00D71C36"/>
    <w:rsid w:val="00D82618"/>
    <w:rsid w:val="00D86478"/>
    <w:rsid w:val="00D936DB"/>
    <w:rsid w:val="00D95D4D"/>
    <w:rsid w:val="00D96931"/>
    <w:rsid w:val="00DA77B1"/>
    <w:rsid w:val="00DB6264"/>
    <w:rsid w:val="00DC6319"/>
    <w:rsid w:val="00DD4CF6"/>
    <w:rsid w:val="00DE2A58"/>
    <w:rsid w:val="00E125D6"/>
    <w:rsid w:val="00E26532"/>
    <w:rsid w:val="00E566B7"/>
    <w:rsid w:val="00E62A2F"/>
    <w:rsid w:val="00E71985"/>
    <w:rsid w:val="00E7586C"/>
    <w:rsid w:val="00E90E98"/>
    <w:rsid w:val="00E95693"/>
    <w:rsid w:val="00EA1AFC"/>
    <w:rsid w:val="00EA59AF"/>
    <w:rsid w:val="00EA5E0A"/>
    <w:rsid w:val="00EA6F4C"/>
    <w:rsid w:val="00EA7CCE"/>
    <w:rsid w:val="00EB3939"/>
    <w:rsid w:val="00EC1F89"/>
    <w:rsid w:val="00EE6822"/>
    <w:rsid w:val="00EE73BC"/>
    <w:rsid w:val="00EF314E"/>
    <w:rsid w:val="00F32413"/>
    <w:rsid w:val="00F3461F"/>
    <w:rsid w:val="00F554E0"/>
    <w:rsid w:val="00F75B6F"/>
    <w:rsid w:val="00F85E6D"/>
    <w:rsid w:val="00F92E8F"/>
    <w:rsid w:val="00F938B3"/>
    <w:rsid w:val="00F94FA8"/>
    <w:rsid w:val="00F96D37"/>
    <w:rsid w:val="00FA2A00"/>
    <w:rsid w:val="00FA2E5D"/>
    <w:rsid w:val="00FA70CD"/>
    <w:rsid w:val="00FC26EC"/>
    <w:rsid w:val="00FD47B5"/>
    <w:rsid w:val="00FE0A0B"/>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eastAsia="zh-TW"/>
    </w:rPr>
  </w:style>
  <w:style w:type="paragraph" w:styleId="Heading1">
    <w:name w:val="heading 1"/>
    <w:basedOn w:val="Normal"/>
    <w:qFormat/>
    <w:rsid w:val="008B220A"/>
    <w:pPr>
      <w:widowControl/>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Chars="210" w:left="504" w:firstLineChars="209" w:firstLine="543"/>
      <w:jc w:val="both"/>
    </w:pPr>
    <w:rPr>
      <w:rFonts w:eastAsia="DFKai-SB"/>
      <w:sz w:val="26"/>
    </w:rPr>
  </w:style>
  <w:style w:type="table" w:styleId="TableGrid">
    <w:name w:val="Table Grid"/>
    <w:basedOn w:val="TableNormal"/>
    <w:rsid w:val="00BA5E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A5EF9"/>
    <w:rPr>
      <w:strike w:val="0"/>
      <w:dstrike w:val="0"/>
      <w:color w:val="333333"/>
      <w:u w:val="none"/>
      <w:effect w:val="none"/>
    </w:rPr>
  </w:style>
  <w:style w:type="character" w:styleId="Strong">
    <w:name w:val="Strong"/>
    <w:qFormat/>
    <w:rsid w:val="0045335D"/>
    <w:rPr>
      <w:b/>
      <w:bCs/>
    </w:rPr>
  </w:style>
  <w:style w:type="character" w:customStyle="1" w:styleId="looklikelinkauthornameaqslistener">
    <w:name w:val="looklikelink authorname aqslistener"/>
    <w:basedOn w:val="DefaultParagraphFont"/>
    <w:rsid w:val="0045335D"/>
  </w:style>
  <w:style w:type="paragraph" w:styleId="Header">
    <w:name w:val="header"/>
    <w:basedOn w:val="Normal"/>
    <w:link w:val="HeaderChar"/>
    <w:rsid w:val="00667A42"/>
    <w:pPr>
      <w:tabs>
        <w:tab w:val="center" w:pos="4680"/>
        <w:tab w:val="right" w:pos="9360"/>
      </w:tabs>
    </w:pPr>
  </w:style>
  <w:style w:type="character" w:customStyle="1" w:styleId="HeaderChar">
    <w:name w:val="Header Char"/>
    <w:link w:val="Header"/>
    <w:rsid w:val="00667A42"/>
    <w:rPr>
      <w:kern w:val="2"/>
      <w:sz w:val="24"/>
      <w:szCs w:val="24"/>
      <w:lang w:eastAsia="zh-TW"/>
    </w:rPr>
  </w:style>
  <w:style w:type="paragraph" w:styleId="Footer">
    <w:name w:val="footer"/>
    <w:basedOn w:val="Normal"/>
    <w:link w:val="FooterChar"/>
    <w:rsid w:val="00667A42"/>
    <w:pPr>
      <w:tabs>
        <w:tab w:val="center" w:pos="4680"/>
        <w:tab w:val="right" w:pos="9360"/>
      </w:tabs>
    </w:pPr>
  </w:style>
  <w:style w:type="character" w:customStyle="1" w:styleId="FooterChar">
    <w:name w:val="Footer Char"/>
    <w:link w:val="Footer"/>
    <w:rsid w:val="00667A42"/>
    <w:rPr>
      <w:kern w:val="2"/>
      <w:sz w:val="24"/>
      <w:szCs w:val="24"/>
      <w:lang w:eastAsia="zh-TW"/>
    </w:rPr>
  </w:style>
  <w:style w:type="paragraph" w:styleId="BalloonText">
    <w:name w:val="Balloon Text"/>
    <w:basedOn w:val="Normal"/>
    <w:link w:val="BalloonTextChar"/>
    <w:rsid w:val="00667A42"/>
    <w:rPr>
      <w:rFonts w:ascii="Tahoma" w:hAnsi="Tahoma" w:cs="Tahoma"/>
      <w:sz w:val="16"/>
      <w:szCs w:val="16"/>
    </w:rPr>
  </w:style>
  <w:style w:type="character" w:customStyle="1" w:styleId="BalloonTextChar">
    <w:name w:val="Balloon Text Char"/>
    <w:link w:val="BalloonText"/>
    <w:rsid w:val="00667A42"/>
    <w:rPr>
      <w:rFonts w:ascii="Tahoma" w:hAnsi="Tahoma" w:cs="Tahoma"/>
      <w:kern w:val="2"/>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9</cp:revision>
  <cp:lastPrinted>2011-12-29T20:42:00Z</cp:lastPrinted>
  <dcterms:created xsi:type="dcterms:W3CDTF">2013-05-23T13:23:00Z</dcterms:created>
  <dcterms:modified xsi:type="dcterms:W3CDTF">2013-05-23T13:43:00Z</dcterms:modified>
</cp:coreProperties>
</file>